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D7615" w:rsidTr="006D7615">
        <w:trPr>
          <w:jc w:val="center"/>
        </w:trPr>
        <w:tc>
          <w:tcPr>
            <w:tcW w:w="743" w:type="dxa"/>
            <w:hideMark/>
          </w:tcPr>
          <w:p w:rsidR="006D7615" w:rsidRDefault="006D7615">
            <w:pPr>
              <w:bidi w:val="0"/>
              <w:rPr>
                <w:rFonts w:ascii="Arial" w:hAnsi="Arial"/>
                <w:b/>
                <w:bCs/>
                <w:sz w:val="26"/>
                <w:szCs w:val="26"/>
                <w:rtl/>
              </w:rPr>
            </w:pPr>
            <w:bookmarkStart w:id="0" w:name="_GoBack"/>
            <w:bookmarkEnd w:id="0"/>
          </w:p>
        </w:tc>
        <w:tc>
          <w:tcPr>
            <w:tcW w:w="8077" w:type="dxa"/>
            <w:gridSpan w:val="2"/>
          </w:tcPr>
          <w:p w:rsidR="006D7615" w:rsidRDefault="006D7615">
            <w:pPr>
              <w:suppressLineNumbers/>
              <w:rPr>
                <w:rFonts w:ascii="Arial" w:hAnsi="Arial" w:cs="FrankRuehl"/>
                <w:sz w:val="26"/>
                <w:szCs w:val="26"/>
                <w:highlight w:val="yellow"/>
              </w:rPr>
            </w:pPr>
          </w:p>
        </w:tc>
      </w:tr>
      <w:tr w:rsidR="006D7615" w:rsidTr="006D7615">
        <w:trPr>
          <w:jc w:val="center"/>
        </w:trPr>
        <w:tc>
          <w:tcPr>
            <w:tcW w:w="3249" w:type="dxa"/>
            <w:gridSpan w:val="2"/>
            <w:hideMark/>
          </w:tcPr>
          <w:sdt>
            <w:sdtPr>
              <w:rPr>
                <w:rtl/>
              </w:rPr>
              <w:alias w:val="1180"/>
              <w:tag w:val="1180"/>
              <w:id w:val="1097367138"/>
              <w:text w:multiLine="1"/>
            </w:sdtPr>
            <w:sdtEndPr/>
            <w:sdtContent>
              <w:p w:rsidR="006D7615" w:rsidRDefault="006D7615">
                <w:pPr>
                  <w:suppressLineNumbers/>
                  <w:rPr>
                    <w:rFonts w:ascii="Arial" w:hAnsi="Arial"/>
                    <w:b/>
                    <w:bCs/>
                    <w:noProof w:val="0"/>
                    <w:sz w:val="26"/>
                    <w:szCs w:val="26"/>
                    <w:rtl/>
                  </w:rPr>
                </w:pPr>
                <w:r>
                  <w:rPr>
                    <w:rFonts w:ascii="Arial" w:hAnsi="Arial"/>
                    <w:b/>
                    <w:bCs/>
                    <w:noProof w:val="0"/>
                    <w:sz w:val="26"/>
                    <w:szCs w:val="26"/>
                    <w:rtl/>
                  </w:rPr>
                  <w:t>המערער:</w:t>
                </w:r>
              </w:p>
            </w:sdtContent>
          </w:sdt>
        </w:tc>
        <w:tc>
          <w:tcPr>
            <w:tcW w:w="5571" w:type="dxa"/>
            <w:hideMark/>
          </w:tcPr>
          <w:p w:rsidR="006D7615" w:rsidRDefault="000D68D0">
            <w:pPr>
              <w:suppressLineNumbers/>
              <w:rPr>
                <w:rFonts w:ascii="Arial" w:hAnsi="Arial"/>
                <w:b/>
                <w:bCs/>
                <w:noProof w:val="0"/>
                <w:sz w:val="26"/>
                <w:szCs w:val="26"/>
              </w:rPr>
            </w:pPr>
            <w:sdt>
              <w:sdtPr>
                <w:rPr>
                  <w:rFonts w:ascii="Arial" w:hAnsi="Arial"/>
                  <w:b/>
                  <w:bCs/>
                  <w:noProof w:val="0"/>
                  <w:sz w:val="26"/>
                  <w:szCs w:val="26"/>
                  <w:rtl/>
                </w:rPr>
                <w:alias w:val="3151"/>
                <w:tag w:val="3151"/>
                <w:id w:val="-507286575"/>
                <w:placeholder>
                  <w:docPart w:val="9603B5CFA17D4E60B1E23B7FAB8269F9"/>
                </w:placeholder>
                <w:text w:multiLine="1"/>
              </w:sdtPr>
              <w:sdtEndPr/>
              <w:sdtContent>
                <w:r w:rsidR="006D7615">
                  <w:rPr>
                    <w:rFonts w:ascii="Arial" w:hAnsi="Arial"/>
                    <w:b/>
                    <w:bCs/>
                    <w:noProof w:val="0"/>
                    <w:sz w:val="26"/>
                    <w:szCs w:val="26"/>
                    <w:rtl/>
                  </w:rPr>
                  <w:t>א.פ.</w:t>
                </w:r>
              </w:sdtContent>
            </w:sdt>
            <w:r w:rsidR="006D7615">
              <w:rPr>
                <w:rtl/>
              </w:rPr>
              <w:t xml:space="preserve"> </w:t>
            </w:r>
          </w:p>
          <w:p w:rsidR="006D7615" w:rsidRDefault="006D7615">
            <w:pPr>
              <w:suppressLineNumbers/>
              <w:rPr>
                <w:b/>
                <w:bCs/>
                <w:noProof w:val="0"/>
                <w:sz w:val="26"/>
                <w:szCs w:val="26"/>
                <w:rtl/>
              </w:rPr>
            </w:pPr>
            <w:r>
              <w:rPr>
                <w:rFonts w:ascii="Arial" w:hAnsi="Arial"/>
                <w:b/>
                <w:bCs/>
                <w:noProof w:val="0"/>
                <w:sz w:val="26"/>
                <w:szCs w:val="26"/>
                <w:rtl/>
              </w:rPr>
              <w:t>ע"י ב"כ עוה"ד דיינה הר-אבן</w:t>
            </w:r>
          </w:p>
        </w:tc>
      </w:tr>
      <w:tr w:rsidR="006D7615" w:rsidTr="006D7615">
        <w:trPr>
          <w:jc w:val="center"/>
        </w:trPr>
        <w:tc>
          <w:tcPr>
            <w:tcW w:w="8820" w:type="dxa"/>
            <w:gridSpan w:val="3"/>
          </w:tcPr>
          <w:p w:rsidR="006D7615" w:rsidRDefault="006D7615">
            <w:pPr>
              <w:suppressLineNumbers/>
              <w:rPr>
                <w:rFonts w:ascii="Arial" w:hAnsi="Arial"/>
                <w:b/>
                <w:bCs/>
                <w:noProof w:val="0"/>
                <w:sz w:val="26"/>
                <w:szCs w:val="26"/>
                <w:rtl/>
              </w:rPr>
            </w:pPr>
          </w:p>
          <w:p w:rsidR="006D7615" w:rsidRDefault="006D7615">
            <w:pPr>
              <w:suppressLineNumbers/>
              <w:jc w:val="center"/>
              <w:rPr>
                <w:rFonts w:ascii="Arial" w:hAnsi="Arial"/>
                <w:b/>
                <w:bCs/>
                <w:noProof w:val="0"/>
                <w:sz w:val="26"/>
                <w:szCs w:val="26"/>
              </w:rPr>
            </w:pPr>
            <w:r>
              <w:rPr>
                <w:rFonts w:ascii="Arial" w:hAnsi="Arial"/>
                <w:b/>
                <w:bCs/>
                <w:noProof w:val="0"/>
                <w:sz w:val="26"/>
                <w:szCs w:val="26"/>
                <w:rtl/>
              </w:rPr>
              <w:t>נגד</w:t>
            </w:r>
          </w:p>
          <w:p w:rsidR="006D7615" w:rsidRDefault="006D7615">
            <w:pPr>
              <w:suppressLineNumbers/>
              <w:rPr>
                <w:rFonts w:ascii="Arial" w:hAnsi="Arial"/>
                <w:b/>
                <w:bCs/>
                <w:noProof w:val="0"/>
                <w:sz w:val="26"/>
                <w:szCs w:val="26"/>
                <w:rtl/>
              </w:rPr>
            </w:pPr>
          </w:p>
        </w:tc>
      </w:tr>
      <w:tr w:rsidR="006D7615" w:rsidTr="006D7615">
        <w:trPr>
          <w:jc w:val="center"/>
        </w:trPr>
        <w:tc>
          <w:tcPr>
            <w:tcW w:w="3249" w:type="dxa"/>
            <w:gridSpan w:val="2"/>
            <w:hideMark/>
          </w:tcPr>
          <w:p w:rsidR="006D7615" w:rsidRDefault="000D68D0" w:rsidP="006D7615">
            <w:pPr>
              <w:suppressLineNumbers/>
              <w:jc w:val="both"/>
              <w:rPr>
                <w:rFonts w:ascii="Arial" w:hAnsi="Arial"/>
                <w:b/>
                <w:bCs/>
                <w:noProof w:val="0"/>
                <w:sz w:val="26"/>
                <w:szCs w:val="26"/>
                <w:rtl/>
              </w:rPr>
            </w:pPr>
            <w:sdt>
              <w:sdtPr>
                <w:rPr>
                  <w:b/>
                  <w:bCs/>
                  <w:rtl/>
                </w:rPr>
                <w:alias w:val="1184"/>
                <w:tag w:val="1184"/>
                <w:id w:val="-1728069214"/>
                <w:text w:multiLine="1"/>
              </w:sdtPr>
              <w:sdtEndPr/>
              <w:sdtContent>
                <w:r w:rsidR="006D7615">
                  <w:rPr>
                    <w:rFonts w:ascii="Arial" w:hAnsi="Arial"/>
                    <w:b/>
                    <w:bCs/>
                    <w:noProof w:val="0"/>
                    <w:sz w:val="26"/>
                    <w:szCs w:val="26"/>
                    <w:rtl/>
                  </w:rPr>
                  <w:t>המשיבים:</w:t>
                </w:r>
              </w:sdtContent>
            </w:sdt>
          </w:p>
        </w:tc>
        <w:tc>
          <w:tcPr>
            <w:tcW w:w="5571" w:type="dxa"/>
            <w:hideMark/>
          </w:tcPr>
          <w:p w:rsidR="006D7615" w:rsidRDefault="000D68D0" w:rsidP="006D7615">
            <w:pPr>
              <w:pStyle w:val="ad"/>
              <w:numPr>
                <w:ilvl w:val="0"/>
                <w:numId w:val="1"/>
              </w:numPr>
              <w:suppressLineNumbers/>
              <w:rPr>
                <w:rFonts w:ascii="Arial" w:hAnsi="Arial"/>
                <w:b/>
                <w:bCs/>
                <w:noProof w:val="0"/>
                <w:sz w:val="26"/>
                <w:szCs w:val="26"/>
              </w:rPr>
            </w:pPr>
            <w:sdt>
              <w:sdtPr>
                <w:rPr>
                  <w:rFonts w:ascii="Arial" w:hAnsi="Arial"/>
                  <w:b/>
                  <w:bCs/>
                  <w:noProof w:val="0"/>
                  <w:sz w:val="26"/>
                  <w:szCs w:val="26"/>
                  <w:rtl/>
                </w:rPr>
                <w:alias w:val="3152"/>
                <w:tag w:val="3152"/>
                <w:id w:val="-1072654265"/>
                <w:placeholder>
                  <w:docPart w:val="B5E6C781DC2D4A88A57ED6813AF48695"/>
                </w:placeholder>
                <w:text w:multiLine="1"/>
              </w:sdtPr>
              <w:sdtEndPr/>
              <w:sdtContent>
                <w:r w:rsidR="006D7615">
                  <w:rPr>
                    <w:rFonts w:ascii="Arial" w:hAnsi="Arial"/>
                    <w:b/>
                    <w:bCs/>
                    <w:noProof w:val="0"/>
                    <w:sz w:val="26"/>
                    <w:szCs w:val="26"/>
                    <w:rtl/>
                  </w:rPr>
                  <w:t>ח.פ.</w:t>
                </w:r>
              </w:sdtContent>
            </w:sdt>
            <w:r w:rsidR="006D7615">
              <w:rPr>
                <w:b/>
                <w:bCs/>
                <w:rtl/>
              </w:rPr>
              <w:t xml:space="preserve"> </w:t>
            </w:r>
          </w:p>
          <w:p w:rsidR="006D7615" w:rsidRDefault="006D7615">
            <w:pPr>
              <w:suppressLineNumbers/>
              <w:ind w:left="360"/>
              <w:rPr>
                <w:b/>
                <w:bCs/>
              </w:rPr>
            </w:pPr>
            <w:r>
              <w:rPr>
                <w:rFonts w:ascii="Arial" w:hAnsi="Arial"/>
                <w:b/>
                <w:bCs/>
                <w:noProof w:val="0"/>
                <w:sz w:val="26"/>
                <w:szCs w:val="26"/>
                <w:rtl/>
              </w:rPr>
              <w:t xml:space="preserve">      ע"י ב"כ עוה"ד דורי שוורץ ושיראל בר </w:t>
            </w:r>
          </w:p>
          <w:p w:rsidR="006D7615" w:rsidRDefault="000D68D0" w:rsidP="006D7615">
            <w:pPr>
              <w:pStyle w:val="ad"/>
              <w:numPr>
                <w:ilvl w:val="0"/>
                <w:numId w:val="1"/>
              </w:numPr>
              <w:suppressLineNumbers/>
              <w:rPr>
                <w:rFonts w:ascii="Arial" w:hAnsi="Arial"/>
                <w:b/>
                <w:bCs/>
                <w:noProof w:val="0"/>
                <w:sz w:val="26"/>
                <w:szCs w:val="26"/>
                <w:rtl/>
              </w:rPr>
            </w:pPr>
            <w:sdt>
              <w:sdtPr>
                <w:rPr>
                  <w:rFonts w:ascii="Arial" w:hAnsi="Arial"/>
                  <w:b/>
                  <w:bCs/>
                  <w:noProof w:val="0"/>
                  <w:sz w:val="26"/>
                  <w:szCs w:val="26"/>
                  <w:rtl/>
                </w:rPr>
                <w:alias w:val="3152"/>
                <w:tag w:val="3152"/>
                <w:id w:val="-679433594"/>
                <w:placeholder>
                  <w:docPart w:val="B5E6C781DC2D4A88A57ED6813AF48695"/>
                </w:placeholder>
                <w:text w:multiLine="1"/>
              </w:sdtPr>
              <w:sdtEndPr/>
              <w:sdtContent>
                <w:r w:rsidR="006D7615">
                  <w:rPr>
                    <w:rFonts w:ascii="Arial" w:hAnsi="Arial"/>
                    <w:b/>
                    <w:bCs/>
                    <w:noProof w:val="0"/>
                    <w:sz w:val="26"/>
                    <w:szCs w:val="26"/>
                    <w:rtl/>
                  </w:rPr>
                  <w:t>מרכז הרפואי האוניברסיטאי סורוקה</w:t>
                </w:r>
              </w:sdtContent>
            </w:sdt>
            <w:r w:rsidR="006D7615">
              <w:rPr>
                <w:b/>
                <w:bCs/>
                <w:rtl/>
              </w:rPr>
              <w:t xml:space="preserve"> </w:t>
            </w:r>
          </w:p>
          <w:p w:rsidR="006D7615" w:rsidRDefault="006D7615">
            <w:pPr>
              <w:suppressLineNumbers/>
              <w:ind w:left="360"/>
              <w:rPr>
                <w:b/>
                <w:bCs/>
                <w:rtl/>
              </w:rPr>
            </w:pPr>
            <w:r>
              <w:rPr>
                <w:rFonts w:ascii="Arial" w:hAnsi="Arial"/>
                <w:b/>
                <w:bCs/>
                <w:noProof w:val="0"/>
                <w:sz w:val="26"/>
                <w:szCs w:val="26"/>
                <w:rtl/>
              </w:rPr>
              <w:t xml:space="preserve">       ע"י ב"כ עוה"ד נועם אביטל ברשד ויעל נטר </w:t>
            </w:r>
          </w:p>
          <w:p w:rsidR="006D7615" w:rsidRDefault="000D68D0" w:rsidP="006D7615">
            <w:pPr>
              <w:pStyle w:val="ad"/>
              <w:numPr>
                <w:ilvl w:val="0"/>
                <w:numId w:val="1"/>
              </w:numPr>
              <w:suppressLineNumbers/>
              <w:rPr>
                <w:b/>
                <w:bCs/>
                <w:rtl/>
              </w:rPr>
            </w:pPr>
            <w:sdt>
              <w:sdtPr>
                <w:rPr>
                  <w:rFonts w:ascii="Arial" w:hAnsi="Arial"/>
                  <w:b/>
                  <w:bCs/>
                  <w:noProof w:val="0"/>
                  <w:sz w:val="26"/>
                  <w:szCs w:val="26"/>
                  <w:rtl/>
                </w:rPr>
                <w:alias w:val="3152"/>
                <w:tag w:val="3152"/>
                <w:id w:val="-782270382"/>
                <w:placeholder>
                  <w:docPart w:val="B5E6C781DC2D4A88A57ED6813AF48695"/>
                </w:placeholder>
                <w:text w:multiLine="1"/>
              </w:sdtPr>
              <w:sdtEndPr/>
              <w:sdtContent>
                <w:r w:rsidR="006D7615">
                  <w:rPr>
                    <w:rFonts w:ascii="Arial" w:hAnsi="Arial"/>
                    <w:b/>
                    <w:bCs/>
                    <w:noProof w:val="0"/>
                    <w:sz w:val="26"/>
                    <w:szCs w:val="26"/>
                    <w:rtl/>
                  </w:rPr>
                  <w:t>משרד הבריאות</w:t>
                </w:r>
              </w:sdtContent>
            </w:sdt>
            <w:r w:rsidR="006D7615">
              <w:rPr>
                <w:b/>
                <w:bCs/>
                <w:rtl/>
              </w:rPr>
              <w:t xml:space="preserve"> </w:t>
            </w:r>
          </w:p>
          <w:p w:rsidR="006D7615" w:rsidRDefault="006D7615">
            <w:pPr>
              <w:pStyle w:val="ad"/>
              <w:suppressLineNumbers/>
              <w:rPr>
                <w:rFonts w:ascii="Arial" w:hAnsi="Arial"/>
                <w:b/>
                <w:bCs/>
                <w:noProof w:val="0"/>
                <w:sz w:val="26"/>
                <w:szCs w:val="26"/>
                <w:rtl/>
              </w:rPr>
            </w:pPr>
            <w:r>
              <w:rPr>
                <w:rFonts w:ascii="Arial" w:hAnsi="Arial"/>
                <w:b/>
                <w:bCs/>
                <w:noProof w:val="0"/>
                <w:sz w:val="26"/>
                <w:szCs w:val="26"/>
                <w:rtl/>
              </w:rPr>
              <w:t>ע"י ב"כ עוה"ד זוהר בר-אל – פמ"ד אזרחי</w:t>
            </w:r>
          </w:p>
        </w:tc>
      </w:tr>
      <w:tr w:rsidR="006D7615" w:rsidTr="006D7615">
        <w:trPr>
          <w:jc w:val="center"/>
        </w:trPr>
        <w:tc>
          <w:tcPr>
            <w:tcW w:w="8820" w:type="dxa"/>
            <w:gridSpan w:val="3"/>
          </w:tcPr>
          <w:p w:rsidR="006D7615" w:rsidRDefault="006D7615">
            <w:pPr>
              <w:suppressLineNumbers/>
              <w:rPr>
                <w:rtl/>
              </w:rPr>
            </w:pPr>
          </w:p>
        </w:tc>
      </w:tr>
      <w:tr w:rsidR="006D7615" w:rsidTr="006D7615">
        <w:trPr>
          <w:jc w:val="center"/>
        </w:trPr>
        <w:tc>
          <w:tcPr>
            <w:tcW w:w="3249" w:type="dxa"/>
            <w:gridSpan w:val="2"/>
          </w:tcPr>
          <w:p w:rsidR="006D7615" w:rsidRDefault="006D7615">
            <w:pPr>
              <w:rPr>
                <w:rFonts w:ascii="Arial" w:hAnsi="Arial"/>
                <w:b/>
                <w:bCs/>
                <w:noProof w:val="0"/>
                <w:sz w:val="26"/>
                <w:szCs w:val="26"/>
                <w:rtl/>
              </w:rPr>
            </w:pPr>
          </w:p>
        </w:tc>
        <w:tc>
          <w:tcPr>
            <w:tcW w:w="5571" w:type="dxa"/>
          </w:tcPr>
          <w:p w:rsidR="006D7615" w:rsidRDefault="006D7615">
            <w:pPr>
              <w:rPr>
                <w:rFonts w:ascii="Arial" w:hAnsi="Arial"/>
                <w:b/>
                <w:bCs/>
                <w:noProof w:val="0"/>
                <w:sz w:val="26"/>
                <w:szCs w:val="26"/>
                <w:rtl/>
              </w:rPr>
            </w:pPr>
          </w:p>
        </w:tc>
      </w:tr>
    </w:tbl>
    <w:p w:rsidR="006D7615" w:rsidRDefault="006D7615" w:rsidP="00BA3CA0">
      <w:pPr>
        <w:spacing w:line="360" w:lineRule="auto"/>
        <w:jc w:val="both"/>
      </w:pPr>
      <w:r>
        <w:rPr>
          <w:rtl/>
        </w:rPr>
        <w:t xml:space="preserve">ערעור על פסק דינו של בית </w:t>
      </w:r>
      <w:r w:rsidR="00BA3CA0">
        <w:rPr>
          <w:rFonts w:hint="cs"/>
          <w:rtl/>
        </w:rPr>
        <w:t>ה</w:t>
      </w:r>
      <w:r>
        <w:rPr>
          <w:rtl/>
        </w:rPr>
        <w:t xml:space="preserve">משפט </w:t>
      </w:r>
      <w:r w:rsidR="00BA3CA0">
        <w:rPr>
          <w:rFonts w:hint="cs"/>
          <w:rtl/>
        </w:rPr>
        <w:t>לעניני משפחה</w:t>
      </w:r>
      <w:r>
        <w:rPr>
          <w:rtl/>
        </w:rPr>
        <w:t xml:space="preserve"> בבאר שבע (כב' השופטת ר' קודלר – עיאש</w:t>
      </w:r>
      <w:r w:rsidR="00BA3CA0">
        <w:rPr>
          <w:rFonts w:hint="cs"/>
          <w:rtl/>
        </w:rPr>
        <w:t>, ס"נ</w:t>
      </w:r>
      <w:r>
        <w:rPr>
          <w:rtl/>
        </w:rPr>
        <w:t xml:space="preserve">) מיום 6.3.2024 </w:t>
      </w:r>
      <w:r>
        <w:rPr>
          <w:rFonts w:ascii="David" w:hAnsi="David"/>
          <w:color w:val="000000"/>
          <w:rtl/>
        </w:rPr>
        <w:t>בתמ</w:t>
      </w:r>
      <w:r>
        <w:rPr>
          <w:rtl/>
        </w:rPr>
        <w:t>"ש 52163-11-20.</w:t>
      </w:r>
    </w:p>
    <w:p w:rsidR="006D7615" w:rsidRDefault="006D7615" w:rsidP="006D7615">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D7615" w:rsidTr="006D7615">
        <w:trPr>
          <w:jc w:val="center"/>
        </w:trPr>
        <w:tc>
          <w:tcPr>
            <w:tcW w:w="8820" w:type="dxa"/>
          </w:tcPr>
          <w:p w:rsidR="006D7615" w:rsidRDefault="006D7615">
            <w:pPr>
              <w:bidi w:val="0"/>
              <w:jc w:val="center"/>
              <w:rPr>
                <w:rFonts w:ascii="Arial" w:hAnsi="Arial"/>
                <w:b/>
                <w:bCs/>
                <w:noProof w:val="0"/>
                <w:sz w:val="28"/>
                <w:szCs w:val="28"/>
                <w:u w:val="single"/>
                <w:rtl/>
              </w:rPr>
            </w:pPr>
            <w:r>
              <w:rPr>
                <w:rFonts w:ascii="Arial" w:hAnsi="Arial"/>
                <w:b/>
                <w:bCs/>
                <w:noProof w:val="0"/>
                <w:sz w:val="28"/>
                <w:szCs w:val="28"/>
                <w:u w:val="single"/>
                <w:rtl/>
              </w:rPr>
              <w:t>פסק דין</w:t>
            </w:r>
            <w:r w:rsidR="00317BD6">
              <w:rPr>
                <w:rFonts w:ascii="Arial" w:hAnsi="Arial" w:hint="cs"/>
                <w:b/>
                <w:bCs/>
                <w:noProof w:val="0"/>
                <w:sz w:val="28"/>
                <w:szCs w:val="28"/>
                <w:u w:val="single"/>
                <w:rtl/>
              </w:rPr>
              <w:t xml:space="preserve"> (נוסח לפרסום)</w:t>
            </w:r>
          </w:p>
          <w:p w:rsidR="006D7615" w:rsidRDefault="006D7615">
            <w:pPr>
              <w:bidi w:val="0"/>
              <w:jc w:val="center"/>
              <w:rPr>
                <w:rFonts w:ascii="Arial" w:hAnsi="Arial"/>
                <w:b/>
                <w:bCs/>
                <w:noProof w:val="0"/>
                <w:sz w:val="28"/>
                <w:szCs w:val="28"/>
                <w:u w:val="single"/>
                <w:rtl/>
              </w:rPr>
            </w:pPr>
          </w:p>
        </w:tc>
      </w:tr>
    </w:tbl>
    <w:p w:rsidR="006D7615" w:rsidRDefault="006D7615" w:rsidP="006D7615">
      <w:pPr>
        <w:spacing w:line="480" w:lineRule="auto"/>
        <w:jc w:val="both"/>
        <w:rPr>
          <w:rFonts w:ascii="Arial" w:hAnsi="Arial"/>
          <w:b/>
          <w:bCs/>
          <w:noProof w:val="0"/>
          <w:u w:val="single"/>
          <w:rtl/>
        </w:rPr>
      </w:pPr>
      <w:r>
        <w:rPr>
          <w:rFonts w:ascii="Arial" w:hAnsi="Arial"/>
          <w:b/>
          <w:bCs/>
          <w:noProof w:val="0"/>
          <w:u w:val="single"/>
          <w:rtl/>
        </w:rPr>
        <w:t>כב' השופטת ג' לוין:</w:t>
      </w:r>
    </w:p>
    <w:p w:rsidR="006D7615" w:rsidRDefault="006D7615" w:rsidP="006D7615">
      <w:pPr>
        <w:spacing w:line="360" w:lineRule="auto"/>
        <w:jc w:val="both"/>
        <w:rPr>
          <w:rFonts w:ascii="David" w:hAnsi="David"/>
          <w:color w:val="000000"/>
          <w:rtl/>
        </w:rPr>
      </w:pPr>
      <w:r>
        <w:rPr>
          <w:rFonts w:ascii="David" w:hAnsi="David"/>
          <w:color w:val="000000"/>
          <w:rtl/>
        </w:rPr>
        <w:t xml:space="preserve">השאלה הקשה והרגישה המונחת לפתחנו היא האם אשה רשאית לעשות שימוש בביציות שהוצאו מגופה בהליך שימור פוריות בבית החולים סורוקה בשנת 2015 והופרו בהפרייה חוץ-גופית בזרעו של בן זוגה דאז, חרף התנגדותו של האיש. </w:t>
      </w:r>
    </w:p>
    <w:p w:rsidR="006D7615" w:rsidRDefault="006D7615" w:rsidP="006D7615">
      <w:pPr>
        <w:spacing w:line="360" w:lineRule="auto"/>
        <w:jc w:val="both"/>
        <w:rPr>
          <w:rFonts w:ascii="David" w:hAnsi="David"/>
          <w:noProof w:val="0"/>
          <w:rtl/>
        </w:rPr>
      </w:pPr>
      <w:r>
        <w:rPr>
          <w:rFonts w:ascii="David" w:hAnsi="David"/>
          <w:color w:val="000000"/>
          <w:rtl/>
        </w:rPr>
        <w:t xml:space="preserve">מסיבות רפואיות מצערות האשה אינה יכולה לממש הורות "בדרך הטבע" והיא צריכה להסתייע בטכנולוגיות רפואיות ובמטען הגנטי של האיש. השאלה בה עלינו להכריע היא האם השאיפה הלגיטימית והמובנת של האשה להפוך לאם יכולה לצאת אל הפועל ללא הסכמת האיש. </w:t>
      </w:r>
    </w:p>
    <w:p w:rsidR="006D7615" w:rsidRDefault="006D7615" w:rsidP="006D7615">
      <w:pPr>
        <w:spacing w:line="360" w:lineRule="auto"/>
        <w:jc w:val="both"/>
        <w:rPr>
          <w:rFonts w:ascii="Arial" w:hAnsi="Arial"/>
          <w:noProof w:val="0"/>
        </w:rPr>
      </w:pPr>
    </w:p>
    <w:p w:rsidR="006D7615" w:rsidRDefault="006D7615" w:rsidP="006D7615">
      <w:pPr>
        <w:spacing w:line="360" w:lineRule="auto"/>
        <w:jc w:val="both"/>
        <w:rPr>
          <w:rFonts w:ascii="Arial" w:hAnsi="Arial"/>
          <w:b/>
          <w:bCs/>
          <w:noProof w:val="0"/>
          <w:u w:val="single"/>
          <w:rtl/>
        </w:rPr>
      </w:pPr>
      <w:r>
        <w:rPr>
          <w:rFonts w:ascii="Arial" w:hAnsi="Arial"/>
          <w:b/>
          <w:bCs/>
          <w:noProof w:val="0"/>
          <w:u w:val="single"/>
          <w:rtl/>
        </w:rPr>
        <w:t>רקע והליכים</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המערער והמשיבה ניהלו קשר זוגי בשנים 2013 – 2015. השניים לא מיסדו את הזוגיות,  ולפרקים הם התגוררו יחד בבית הורי המערער ובבית הוריה של המשיבה.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באפריל 2015 החלה המשיבה לסבול מכאבים בבטן התחתונה עם הקרנה לרגל. התנהל בירור רפואי בו התגלה חשש לגידול ממאיר בשחלה.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המחלה הצריכה ניתוח להסרת הגידול. המשיבה טופלה בבית החולים סורוקה, וביום 4.11.2015 עברה כריתה של השחלה השמאלית. במהלך הניתוח התברר כי הגידול פרוץ ומפושט והשתרש על הרחם ועל הדופן השמאלית.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לאחר הניתוח וממצאיו הומלץ למשיבה להתחיל בטיפולים כימותרפיים אגרסיביים. </w:t>
      </w:r>
    </w:p>
    <w:p w:rsidR="006D7615" w:rsidRDefault="006D7615" w:rsidP="006D7615">
      <w:pPr>
        <w:spacing w:line="360" w:lineRule="auto"/>
        <w:ind w:left="720"/>
        <w:jc w:val="both"/>
        <w:rPr>
          <w:rFonts w:ascii="Arial" w:hAnsi="Arial"/>
          <w:noProof w:val="0"/>
          <w:rtl/>
        </w:rPr>
      </w:pPr>
      <w:r>
        <w:rPr>
          <w:rFonts w:ascii="Arial" w:hAnsi="Arial"/>
          <w:noProof w:val="0"/>
          <w:rtl/>
        </w:rPr>
        <w:lastRenderedPageBreak/>
        <w:t xml:space="preserve">כיוון שטיפולים אלה יכולים לפגוע בפוריות, הומלץ לה לעבור תהליך של שימור פוריות ע"י שאיבת ביציות והפרייתן במסגרת יחידת הפוריות בבית החולים סורוקה.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ביום 12.11.2015 הגיעו המערער והמשיבה לפגישת ייעוץ עם מנהל יחידת הפוריות בסורוקה, פרופ' אליהו לויטס. </w:t>
      </w:r>
    </w:p>
    <w:p w:rsidR="006D7615" w:rsidRDefault="006D7615" w:rsidP="006D7615">
      <w:pPr>
        <w:spacing w:line="360" w:lineRule="auto"/>
        <w:ind w:left="720"/>
        <w:jc w:val="both"/>
        <w:rPr>
          <w:rFonts w:ascii="Arial" w:hAnsi="Arial"/>
          <w:noProof w:val="0"/>
          <w:rtl/>
        </w:rPr>
      </w:pPr>
      <w:r>
        <w:rPr>
          <w:rFonts w:ascii="Arial" w:hAnsi="Arial"/>
          <w:noProof w:val="0"/>
          <w:rtl/>
        </w:rPr>
        <w:t>במהלך הפגישה הוסבר להם בהרחבה אודות התהליך של שימור פוריות, ועל שתי האופציות האפשריות: האחת להקפיא ביציות, והשנייה להקפיא ביציות מופרות בזרעו של המערער (עוברים). נאמר להם כי מומלץ להקפיא מחצית הביציות בלא הפריה ומחצית הביציות כשהן מופרות, והכל על פי כמות הזקיקים שתתקבל לאחר שהמשיבה תקבל זריקות של הורמונים להגברת ייצור הזקיקים.</w:t>
      </w:r>
    </w:p>
    <w:p w:rsidR="006D7615" w:rsidRDefault="006D7615" w:rsidP="006D7615">
      <w:pPr>
        <w:spacing w:line="360" w:lineRule="auto"/>
        <w:ind w:firstLine="720"/>
        <w:jc w:val="both"/>
        <w:rPr>
          <w:rFonts w:ascii="Arial" w:hAnsi="Arial"/>
          <w:noProof w:val="0"/>
          <w:rtl/>
        </w:rPr>
      </w:pPr>
      <w:r>
        <w:rPr>
          <w:rFonts w:ascii="Arial" w:hAnsi="Arial"/>
          <w:noProof w:val="0"/>
          <w:rtl/>
        </w:rPr>
        <w:t xml:space="preserve">בסמוך לאחר מכן, החלה המשיבה בטיפול הורמונלי לצורך שאיבת ביציות.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 xml:space="preserve">3. </w:t>
      </w:r>
      <w:r>
        <w:rPr>
          <w:rFonts w:ascii="Arial" w:hAnsi="Arial"/>
          <w:noProof w:val="0"/>
          <w:rtl/>
        </w:rPr>
        <w:tab/>
        <w:t>פרופ' לויטס נתן לבני הזוג טופס שכותרתו "תצהיר" - עליו נדרשים לחתום בני זוג שאינם נשואים המבקשים לעבור תהליך של שימור פוריות - על מנת שיחתמו עליו בפני עורך דין. מפאת חשיבותו אביא את המסמך במלואו:</w:t>
      </w:r>
    </w:p>
    <w:p w:rsidR="006D7615" w:rsidRDefault="006D7615" w:rsidP="006D7615">
      <w:pPr>
        <w:ind w:left="720" w:right="567" w:firstLine="720"/>
        <w:jc w:val="center"/>
        <w:rPr>
          <w:rFonts w:ascii="Arial" w:hAnsi="Arial"/>
          <w:b/>
          <w:bCs/>
          <w:noProof w:val="0"/>
          <w:rtl/>
        </w:rPr>
      </w:pPr>
      <w:r>
        <w:rPr>
          <w:rFonts w:ascii="Arial" w:hAnsi="Arial"/>
          <w:noProof w:val="0"/>
          <w:rtl/>
        </w:rPr>
        <w:t>"</w:t>
      </w:r>
      <w:r>
        <w:rPr>
          <w:rFonts w:ascii="Arial" w:hAnsi="Arial"/>
          <w:b/>
          <w:bCs/>
          <w:noProof w:val="0"/>
          <w:rtl/>
        </w:rPr>
        <w:t>תצהיר</w:t>
      </w:r>
    </w:p>
    <w:p w:rsidR="006D7615" w:rsidRDefault="006D7615" w:rsidP="006D7615">
      <w:pPr>
        <w:ind w:left="1440" w:right="567"/>
        <w:jc w:val="both"/>
        <w:rPr>
          <w:rFonts w:ascii="Arial" w:hAnsi="Arial"/>
          <w:b/>
          <w:bCs/>
          <w:noProof w:val="0"/>
          <w:rtl/>
        </w:rPr>
      </w:pPr>
      <w:r>
        <w:rPr>
          <w:rFonts w:ascii="Arial" w:hAnsi="Arial"/>
          <w:b/>
          <w:bCs/>
          <w:noProof w:val="0"/>
          <w:rtl/>
        </w:rPr>
        <w:t xml:space="preserve">אנו החתומים מטה </w:t>
      </w:r>
      <w:r>
        <w:rPr>
          <w:rFonts w:ascii="Arial" w:hAnsi="Arial"/>
          <w:b/>
          <w:bCs/>
          <w:noProof w:val="0"/>
          <w:u w:val="single"/>
          <w:rtl/>
        </w:rPr>
        <w:t>פ' ח</w:t>
      </w:r>
      <w:r>
        <w:rPr>
          <w:rFonts w:ascii="Arial" w:hAnsi="Arial"/>
          <w:b/>
          <w:bCs/>
          <w:noProof w:val="0"/>
          <w:rtl/>
        </w:rPr>
        <w:t xml:space="preserve">' ת"ז </w:t>
      </w:r>
      <w:r>
        <w:rPr>
          <w:rFonts w:ascii="Arial" w:hAnsi="Arial"/>
          <w:b/>
          <w:bCs/>
          <w:noProof w:val="0"/>
          <w:u w:val="single"/>
          <w:rtl/>
        </w:rPr>
        <w:t>036722445</w:t>
      </w:r>
      <w:r>
        <w:rPr>
          <w:rFonts w:ascii="Arial" w:hAnsi="Arial"/>
          <w:b/>
          <w:bCs/>
          <w:noProof w:val="0"/>
          <w:rtl/>
        </w:rPr>
        <w:t xml:space="preserve"> (להלן: 'האישה').</w:t>
      </w:r>
    </w:p>
    <w:p w:rsidR="006D7615" w:rsidRDefault="006D7615" w:rsidP="006D7615">
      <w:pPr>
        <w:ind w:left="1440" w:right="567"/>
        <w:jc w:val="both"/>
        <w:rPr>
          <w:rFonts w:ascii="Arial" w:hAnsi="Arial"/>
          <w:b/>
          <w:bCs/>
          <w:noProof w:val="0"/>
          <w:rtl/>
        </w:rPr>
      </w:pPr>
      <w:r>
        <w:rPr>
          <w:rFonts w:ascii="Arial" w:hAnsi="Arial"/>
          <w:b/>
          <w:bCs/>
          <w:noProof w:val="0"/>
          <w:u w:val="single"/>
          <w:rtl/>
        </w:rPr>
        <w:t>פ' א</w:t>
      </w:r>
      <w:r>
        <w:rPr>
          <w:rFonts w:ascii="Arial" w:hAnsi="Arial"/>
          <w:b/>
          <w:bCs/>
          <w:noProof w:val="0"/>
          <w:rtl/>
        </w:rPr>
        <w:t xml:space="preserve">' ת.ז. </w:t>
      </w:r>
      <w:r>
        <w:rPr>
          <w:rFonts w:ascii="Arial" w:hAnsi="Arial"/>
          <w:b/>
          <w:bCs/>
          <w:noProof w:val="0"/>
          <w:u w:val="single"/>
          <w:rtl/>
        </w:rPr>
        <w:t>039464714</w:t>
      </w:r>
      <w:r>
        <w:rPr>
          <w:rFonts w:ascii="Arial" w:hAnsi="Arial"/>
          <w:b/>
          <w:bCs/>
          <w:noProof w:val="0"/>
          <w:rtl/>
        </w:rPr>
        <w:t xml:space="preserve"> (להלן: 'הגבר').</w:t>
      </w:r>
    </w:p>
    <w:p w:rsidR="006D7615" w:rsidRDefault="006D7615" w:rsidP="006D7615">
      <w:pPr>
        <w:ind w:left="1440" w:right="567"/>
        <w:jc w:val="both"/>
        <w:rPr>
          <w:rFonts w:ascii="Arial" w:hAnsi="Arial"/>
          <w:b/>
          <w:bCs/>
          <w:noProof w:val="0"/>
          <w:rtl/>
        </w:rPr>
      </w:pPr>
      <w:r>
        <w:rPr>
          <w:rFonts w:ascii="Arial" w:hAnsi="Arial"/>
          <w:b/>
          <w:bCs/>
          <w:noProof w:val="0"/>
          <w:rtl/>
        </w:rPr>
        <w:t>לאחר שהוזהרנו כי עלינו להצהיר על האמת, שאם לא כן נהיה צפויים לעונשים הקבועים בחוק, מצהירים בזאת כדלקמן:</w:t>
      </w:r>
    </w:p>
    <w:p w:rsidR="006D7615" w:rsidRDefault="006D7615" w:rsidP="006D7615">
      <w:pPr>
        <w:pStyle w:val="ad"/>
        <w:numPr>
          <w:ilvl w:val="0"/>
          <w:numId w:val="2"/>
        </w:numPr>
        <w:ind w:left="1800" w:right="567"/>
        <w:jc w:val="both"/>
        <w:rPr>
          <w:rFonts w:ascii="Arial" w:hAnsi="Arial"/>
          <w:b/>
          <w:bCs/>
          <w:noProof w:val="0"/>
          <w:rtl/>
        </w:rPr>
      </w:pPr>
      <w:r>
        <w:rPr>
          <w:rFonts w:ascii="Arial" w:hAnsi="Arial"/>
          <w:b/>
          <w:bCs/>
          <w:noProof w:val="0"/>
          <w:rtl/>
        </w:rPr>
        <w:t xml:space="preserve">הננו מצהירים כי איננו נשואים זה לזה ולא לבני זוג אחרים. </w:t>
      </w:r>
    </w:p>
    <w:p w:rsidR="006D7615" w:rsidRDefault="006D7615" w:rsidP="006D7615">
      <w:pPr>
        <w:pStyle w:val="ad"/>
        <w:numPr>
          <w:ilvl w:val="0"/>
          <w:numId w:val="2"/>
        </w:numPr>
        <w:ind w:left="1800" w:right="567"/>
        <w:jc w:val="both"/>
        <w:rPr>
          <w:rFonts w:ascii="Arial" w:hAnsi="Arial"/>
          <w:b/>
          <w:bCs/>
          <w:noProof w:val="0"/>
          <w:rtl/>
        </w:rPr>
      </w:pPr>
      <w:r>
        <w:rPr>
          <w:rFonts w:ascii="Arial" w:hAnsi="Arial"/>
          <w:b/>
          <w:bCs/>
          <w:noProof w:val="0"/>
          <w:rtl/>
        </w:rPr>
        <w:t xml:space="preserve">הננו מצהירים כי מתוך הסכמה הדדית ובחירה חופשית מרצון וללא כל תמורה כספית מכל גורם שהוא, פנינו ליחידה להפריה חוץ גופית במרכז הרפואי האוניברסיטאי סורוקה על מנת לבצע הפריה חוץ גופית מזרעו של הגבר ומביציותיה של האישה. </w:t>
      </w:r>
    </w:p>
    <w:p w:rsidR="006D7615" w:rsidRDefault="006D7615" w:rsidP="006D7615">
      <w:pPr>
        <w:pStyle w:val="ad"/>
        <w:numPr>
          <w:ilvl w:val="0"/>
          <w:numId w:val="2"/>
        </w:numPr>
        <w:ind w:left="1800" w:right="567"/>
        <w:jc w:val="both"/>
        <w:rPr>
          <w:rFonts w:ascii="Arial" w:hAnsi="Arial"/>
          <w:b/>
          <w:bCs/>
          <w:noProof w:val="0"/>
          <w:rtl/>
        </w:rPr>
      </w:pPr>
      <w:r>
        <w:rPr>
          <w:rFonts w:ascii="Arial" w:hAnsi="Arial"/>
          <w:b/>
          <w:bCs/>
          <w:noProof w:val="0"/>
          <w:rtl/>
        </w:rPr>
        <w:t xml:space="preserve">הננו מצהירים כי העוברים שיווצרו מההפריה הנ"ל מיועדים להחדרה לרחמה של האישה ולא לצורך החדרה "לאם נושאת" (פונדקאית) אחרת. </w:t>
      </w:r>
    </w:p>
    <w:p w:rsidR="006D7615" w:rsidRDefault="006D7615" w:rsidP="006D7615">
      <w:pPr>
        <w:pStyle w:val="ad"/>
        <w:numPr>
          <w:ilvl w:val="0"/>
          <w:numId w:val="2"/>
        </w:numPr>
        <w:ind w:left="1800" w:right="567"/>
        <w:jc w:val="both"/>
        <w:rPr>
          <w:rFonts w:ascii="Arial" w:hAnsi="Arial"/>
          <w:b/>
          <w:bCs/>
          <w:noProof w:val="0"/>
        </w:rPr>
      </w:pPr>
      <w:r>
        <w:rPr>
          <w:rFonts w:ascii="Arial" w:hAnsi="Arial"/>
          <w:b/>
          <w:bCs/>
          <w:noProof w:val="0"/>
          <w:rtl/>
        </w:rPr>
        <w:t xml:space="preserve">הננו מצהירים כי ידוע לנו שלאחר הצלחת ההפריה והחדרת העוברים שיווצרו לרחמה של האישה, לא ניתן יהא לבטל הסכם זה ו/או לסגת ממנו באורח חד צדדי ע"י אחד מאתנו, על כל החובות ההדדיות והחוקיות הנובעות ממנו. </w:t>
      </w:r>
    </w:p>
    <w:p w:rsidR="006D7615" w:rsidRDefault="006D7615" w:rsidP="006D7615">
      <w:pPr>
        <w:pStyle w:val="ad"/>
        <w:numPr>
          <w:ilvl w:val="0"/>
          <w:numId w:val="2"/>
        </w:numPr>
        <w:ind w:left="1800" w:right="567"/>
        <w:jc w:val="both"/>
        <w:rPr>
          <w:rFonts w:ascii="Arial" w:hAnsi="Arial"/>
          <w:b/>
          <w:bCs/>
          <w:noProof w:val="0"/>
        </w:rPr>
      </w:pPr>
      <w:r>
        <w:rPr>
          <w:rFonts w:ascii="Arial" w:hAnsi="Arial"/>
          <w:b/>
          <w:bCs/>
          <w:noProof w:val="0"/>
          <w:rtl/>
        </w:rPr>
        <w:t xml:space="preserve">הננו מצהירים כי ידוע ומובן לנו לשעם היוולד התינוק/ות מהפריה זו יחולו עלינו כל החובות  והחובות והזכויות הנובעות מהורות ביולוגית טבעית, אף אם לא נהיה נשואים בעת הלידה זה לזו. </w:t>
      </w:r>
    </w:p>
    <w:p w:rsidR="006D7615" w:rsidRDefault="006D7615" w:rsidP="006D7615">
      <w:pPr>
        <w:pStyle w:val="ad"/>
        <w:numPr>
          <w:ilvl w:val="0"/>
          <w:numId w:val="2"/>
        </w:numPr>
        <w:ind w:left="1800" w:right="567"/>
        <w:jc w:val="both"/>
        <w:rPr>
          <w:rFonts w:ascii="Arial" w:hAnsi="Arial"/>
          <w:b/>
          <w:bCs/>
          <w:noProof w:val="0"/>
        </w:rPr>
      </w:pPr>
      <w:r>
        <w:rPr>
          <w:rFonts w:ascii="Arial" w:hAnsi="Arial"/>
          <w:b/>
          <w:bCs/>
          <w:noProof w:val="0"/>
          <w:rtl/>
        </w:rPr>
        <w:t xml:space="preserve">הגבר מצהיר כי ידוע ומובן לו שאף אם התינוק/ות שיוולדו מהפריה זו יוחזק/יוחזקו בידי האישה בלבד, יחולו עליו כל החובות והזכויות של אב ביולוגי ע"פ כל דין, ואין בהסכם מיוחד זה כדי לגרוע מכך דבר. </w:t>
      </w:r>
    </w:p>
    <w:p w:rsidR="006D7615" w:rsidRDefault="006D7615" w:rsidP="006D7615">
      <w:pPr>
        <w:pStyle w:val="ad"/>
        <w:numPr>
          <w:ilvl w:val="0"/>
          <w:numId w:val="2"/>
        </w:numPr>
        <w:ind w:left="1800" w:right="567"/>
        <w:jc w:val="both"/>
        <w:rPr>
          <w:rFonts w:ascii="Arial" w:hAnsi="Arial"/>
          <w:b/>
          <w:bCs/>
          <w:noProof w:val="0"/>
        </w:rPr>
      </w:pPr>
      <w:r>
        <w:rPr>
          <w:rFonts w:ascii="Arial" w:hAnsi="Arial"/>
          <w:b/>
          <w:bCs/>
          <w:noProof w:val="0"/>
          <w:rtl/>
        </w:rPr>
        <w:t xml:space="preserve">הננו מצהירים כי במקרה של העלמות ו/או פטירה של מי מאיתנו, עוד טרם קליטת העוברים שיווצרו מההפריה ברחם האישה, רשאי יהא הצד הנותר לבחור בדרך הטיפול בחומר גנטי שניתן ע"י הצדדים </w:t>
      </w:r>
      <w:r>
        <w:rPr>
          <w:rFonts w:ascii="Arial" w:hAnsi="Arial"/>
          <w:b/>
          <w:bCs/>
          <w:noProof w:val="0"/>
          <w:rtl/>
        </w:rPr>
        <w:lastRenderedPageBreak/>
        <w:t>לצורך ההפריה, זאת לאחר הצגת אישור משפטי בדבר העלמות ו/או פטירה של הצד הני ובכפוף להוראות כל דין החל על הנושא במדינת ישראל</w:t>
      </w:r>
      <w:r>
        <w:rPr>
          <w:rFonts w:ascii="Arial" w:hAnsi="Arial"/>
          <w:noProof w:val="0"/>
          <w:rtl/>
        </w:rPr>
        <w:t>".</w:t>
      </w:r>
    </w:p>
    <w:p w:rsidR="006D7615" w:rsidRDefault="006D7615" w:rsidP="006D7615">
      <w:pPr>
        <w:pStyle w:val="ad"/>
        <w:spacing w:line="360" w:lineRule="auto"/>
        <w:ind w:left="1080"/>
        <w:jc w:val="both"/>
        <w:rPr>
          <w:rFonts w:ascii="Arial" w:hAnsi="Arial"/>
          <w:b/>
          <w:bCs/>
          <w:noProof w:val="0"/>
        </w:rPr>
      </w:pPr>
      <w:r>
        <w:rPr>
          <w:rFonts w:ascii="Arial" w:hAnsi="Arial"/>
          <w:b/>
          <w:bCs/>
          <w:noProof w:val="0"/>
          <w:rtl/>
        </w:rPr>
        <w:t xml:space="preserve"> </w:t>
      </w:r>
    </w:p>
    <w:p w:rsidR="006D7615" w:rsidRDefault="006D7615" w:rsidP="006D7615">
      <w:pPr>
        <w:spacing w:line="360" w:lineRule="auto"/>
        <w:ind w:firstLine="720"/>
        <w:jc w:val="both"/>
        <w:rPr>
          <w:rFonts w:ascii="Arial" w:hAnsi="Arial"/>
          <w:noProof w:val="0"/>
        </w:rPr>
      </w:pPr>
      <w:r>
        <w:rPr>
          <w:rFonts w:ascii="Arial" w:hAnsi="Arial"/>
          <w:noProof w:val="0"/>
          <w:rtl/>
        </w:rPr>
        <w:t xml:space="preserve">המערער והמשיבה חתמו על ה"תצהיר" בפני עורך דין ברק מישלי, ביום 17.11.2015. </w:t>
      </w:r>
    </w:p>
    <w:p w:rsidR="006D7615" w:rsidRDefault="006D7615" w:rsidP="006D7615">
      <w:pPr>
        <w:spacing w:line="360" w:lineRule="auto"/>
        <w:ind w:left="720"/>
        <w:jc w:val="both"/>
        <w:rPr>
          <w:rFonts w:ascii="Arial" w:hAnsi="Arial"/>
          <w:noProof w:val="0"/>
        </w:rPr>
      </w:pPr>
      <w:r>
        <w:rPr>
          <w:rFonts w:ascii="Arial" w:hAnsi="Arial"/>
          <w:noProof w:val="0"/>
          <w:rtl/>
        </w:rPr>
        <w:t xml:space="preserve">בנוסף, ביחידה לפוריות הופנה המערער לביצוע בדיקת זרע, אך לא ביצע את הבדיקה.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ביום 23.11.2015 בוצע ביחידה לפוריות הליך של שאיבת ביציות מגופה של המשיבה, הליך פולשני המבוצע תחת הרדמה. במקביל המערער מסר ליחידה זרע לצורך הפריית ביציות. בתום מהלך השאיבה, התברר כי הופקו שלוש ביציות תקינות. הוחלט בהמלצת הרופאים להפרות את שלוש הביציות לעוברים.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ביום 25.11.2015 הוקפאו שלוש הביציות המופרות (עוברים).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יצוין כי בהתאם למסמך שקיבלו הצדדים מהיחידה לפוריות ביום 25.11.2015, העוברים יוקפאו לתקופה שלא תעלה על חמש שנים, אלא אם תתקבל בקשה בכתב מהאישה ובעלה להאריך את תקופת ההקפאה.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בסמוך לאחר מכן התברר בבדיקת </w:t>
      </w:r>
      <w:r>
        <w:rPr>
          <w:rFonts w:ascii="Arial" w:hAnsi="Arial"/>
          <w:noProof w:val="0"/>
        </w:rPr>
        <w:t>CT</w:t>
      </w:r>
      <w:r>
        <w:rPr>
          <w:rFonts w:ascii="Arial" w:hAnsi="Arial"/>
          <w:noProof w:val="0"/>
          <w:rtl/>
        </w:rPr>
        <w:t xml:space="preserve"> כי המחלה האונקולוגית של המשיבה חזרה עם גרורות ברחם ובכבד. בהוראת הרופאים האונקולוגיים הופסק מידית הטיפול לשימור הפוריות והמשיבה החלה מיידית בטיפול כימותרפי, שהחל בתחילת דצמבר 2015.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לאחר ששה סבבים של כימותרפיה, בעקבות ממצאים על נגעים בכבד וברחם, הומלץ למשיבה (במאי 2016) לבצע הסרה מידית של הרחם והחלק הנגוע בכבד.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ביולי 2016 נאלצה המשיבה לעבור כריתת רחם.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סמוך לאחר מכן המערער הודיע לה על החלטתו לסיים את מערכת היחסים. בעקבות זאת נותק הקשר בין הצדדים.</w:t>
      </w:r>
    </w:p>
    <w:p w:rsidR="006D7615" w:rsidRDefault="006D7615" w:rsidP="006D7615">
      <w:pPr>
        <w:spacing w:line="360" w:lineRule="auto"/>
        <w:ind w:left="720"/>
        <w:jc w:val="both"/>
        <w:rPr>
          <w:rFonts w:ascii="Arial" w:hAnsi="Arial"/>
          <w:noProof w:val="0"/>
          <w:rtl/>
        </w:rPr>
      </w:pPr>
      <w:r>
        <w:rPr>
          <w:rFonts w:ascii="Arial" w:hAnsi="Arial"/>
          <w:noProof w:val="0"/>
          <w:rtl/>
        </w:rPr>
        <w:t xml:space="preserve">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כמה ימים לאחר הודעת הפרידה המשיבה יצרה קשר עם המערער וביקשה שיחתום על מסמך הסכמה לשימוש שלה בעוברים. המערער לא נעתר לבקשה.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לימים, המערער נישא ומנישואיו נולדו שני ילדים.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המשיבה לא נישאה ואין לה ילדים.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lastRenderedPageBreak/>
        <w:t>7.</w:t>
      </w:r>
      <w:r>
        <w:rPr>
          <w:rFonts w:ascii="Arial" w:hAnsi="Arial"/>
          <w:noProof w:val="0"/>
          <w:rtl/>
        </w:rPr>
        <w:tab/>
        <w:t>בחלוף כחמש שנים מביצוע הליך שימור הפוריות, ביום 11.10.2020 פנתה המשיבה למערער ושיתפה אותו בכך שהיא מעוניינת לעשות שימוש בעוברים המוקפאים, באמצעות הליך פונדקאות.</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היא שטחה בפניו כמה חשוב לה שיהיו לה ילדים ביולוגיים, והסבירה כי השימוש בעוברים הוא האופציה היחידה שלה לילדים ביולוגיים. המשיבה ביקשה מהמערער לחשוב על הנושא, לשוחח עם רעייתו, ולהיפגש כדי למצוא פתרון שיתאים לכולם. המערער מצידו הסביר למשיבה שלדבר השלכות מאוד גדולות על החיים שלו, והסביר את התנגדותו להביא לעולם ילדים שהוא לא ייקח חלק בגידולם. בסיום השיחה אמר המערער כי ישוחח עם אשתו ויעדכן את המשיבה. </w:t>
      </w:r>
    </w:p>
    <w:p w:rsidR="006D7615" w:rsidRDefault="006D7615" w:rsidP="006D7615">
      <w:pPr>
        <w:spacing w:line="360" w:lineRule="auto"/>
        <w:ind w:firstLine="720"/>
        <w:jc w:val="both"/>
        <w:rPr>
          <w:rFonts w:ascii="Arial" w:hAnsi="Arial"/>
          <w:noProof w:val="0"/>
          <w:rtl/>
        </w:rPr>
      </w:pPr>
      <w:r>
        <w:rPr>
          <w:rFonts w:ascii="Arial" w:hAnsi="Arial"/>
          <w:noProof w:val="0"/>
          <w:rtl/>
        </w:rPr>
        <w:t xml:space="preserve">לאחר כמה ימים שלח המערער למשיבה מסרון קצר – "מצטער".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ביום 22.11.2020 הגישה המשיבה לבית המשפט לענייני משפחה את התביעה נשוא הערעור. היא ביקשה להורות לבית החולים סורוקה ליתן בידיה את הזכות לעשות שימוש בעוברים המוקפאים לצורך פונדקאות באמצעות אם נושאת.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בד בבד הגישה המשיבה בקשה לצו מניעה המורה לבית החולים סורוקה שלא להשמיד את העוברים המוקפאים.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בתביעה הדגישה המשיבה את מעמדה הרם של הזכות להורות, ואת העובדה כי מבחינתה, בשל מצבה הרפואי, העוברים המוקפאים המשותפים לה ולמערער הם הסיכוי היחיד שלה להורות ביולוגית. </w:t>
      </w:r>
    </w:p>
    <w:p w:rsidR="006D7615" w:rsidRDefault="006D7615" w:rsidP="006D7615">
      <w:pPr>
        <w:spacing w:line="360" w:lineRule="auto"/>
        <w:ind w:left="720"/>
        <w:jc w:val="both"/>
        <w:rPr>
          <w:rFonts w:ascii="Arial" w:hAnsi="Arial"/>
          <w:noProof w:val="0"/>
          <w:rtl/>
        </w:rPr>
      </w:pPr>
      <w:r>
        <w:rPr>
          <w:rFonts w:ascii="Arial" w:hAnsi="Arial"/>
          <w:noProof w:val="0"/>
          <w:rtl/>
        </w:rPr>
        <w:t>היא טענה כי היא והמערער הסכימו להביא ילד לעולם בדרך של הפריית הביציות, ובשלב מסוים אף הסתייעות בפונדקאות, כפי שהתחייב בפניה המערער כשנודע לו על הצורך בכריתת רחמה. המערער הרחיק לכת במימוש התכנית, הפריש מזרעו וגרם להפריית הביציות בהסכמה מלאה. ההליך שננקט היה כרוך בסבל פיזי קשה וממושך למשיבה ואף בסיכון חיים.</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המשיבה טענה כי הסתמכה על הסכמתו ותמיכתו המלאה לתכנית המשותפת, לרבות התחייבות להליך פונדקאות.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נוכח כל האמור, ביקשה המשיבה ליתן מעמד בכורה לזכותה לממש הורות ביולוגית. </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noProof w:val="0"/>
          <w:rtl/>
        </w:rPr>
      </w:pPr>
      <w:r>
        <w:rPr>
          <w:rFonts w:ascii="Arial" w:hAnsi="Arial"/>
          <w:noProof w:val="0"/>
          <w:rtl/>
        </w:rPr>
        <w:t>10.</w:t>
      </w:r>
      <w:r>
        <w:rPr>
          <w:rFonts w:ascii="Arial" w:hAnsi="Arial"/>
          <w:noProof w:val="0"/>
          <w:rtl/>
        </w:rPr>
        <w:tab/>
        <w:t xml:space="preserve">המערער התנגד נחרצות לשימוש בעוברים המוקפאים ועתר לדחיית התביעה על הסף.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lastRenderedPageBreak/>
        <w:t>בית החולים סורוקה הודיע, כי כל עוד לא תינתן הודעה אחרת, ימשיך להחזיק את העוברים הקפואים. בשים לב למהות התובענה, לתפקידו ומעמדו של בית החולים סורוקה, בית החולים הודיע כי יקיים אחר כל החלטה שתתקבל בתביעה העיקרית ביחס לעוברים, וביקש לפטור אותו מהתייצבות לדיונים.</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ב"כ היועמ"ש מסר תגובה מקדמית (ביום 7.2.2011) לפיה בין הצדדים נטועות מחלוקות עובדתיות מהותיות, היורדות לשורשו של ענין ומחייבות בירור יסודי ומעמיק בטרם תגובש עמדת המדינה בשאלות העולות בגדרי התובענה. התבקש להגיש עמדה לגופה של התובענה לאחר הגשת תצהירים ושמיעת ראיות באופן שמלוא העובדות יעמדו לפני היועץ המשפטי לממשלה לצורך גיבוש עמדתו בסוגיה הרגישה והמורכבת.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t xml:space="preserve">במסגרת בירור התובענה הוגשו תצהירים של המשיבה ושל המערער, והמצהירים העידו בבית המשפט בינואר 2022. </w:t>
      </w:r>
    </w:p>
    <w:p w:rsidR="006D7615" w:rsidRDefault="006D7615" w:rsidP="006D7615">
      <w:pPr>
        <w:spacing w:line="360" w:lineRule="auto"/>
        <w:ind w:left="720"/>
        <w:jc w:val="both"/>
        <w:rPr>
          <w:rFonts w:ascii="Arial" w:hAnsi="Arial"/>
          <w:noProof w:val="0"/>
          <w:rtl/>
        </w:rPr>
      </w:pPr>
      <w:r>
        <w:rPr>
          <w:rFonts w:ascii="Arial" w:hAnsi="Arial"/>
          <w:noProof w:val="0"/>
          <w:rtl/>
        </w:rPr>
        <w:t>לאחר הגשת הסיכומים של המשיבה והמערער, הגיש ב"כ היועמ"ש עמדה מסכמת. על פי העמדה, בכפוף להכרעה עובדתית שתצא מבית המשפט ביחס לשאלות העובדתיות והחוזיות שעל הפרק, הוצג מתווה משפטי אפשרי בנסיבות דנן, תחת המסגרת הנורמטיבית של חוק הסכמים לנשיאת עוברים (אישור הסכם ומעמד הילוד), התשנ"ו-1996 (להלן: "</w:t>
      </w:r>
      <w:r>
        <w:rPr>
          <w:rFonts w:ascii="Arial" w:hAnsi="Arial"/>
          <w:b/>
          <w:bCs/>
          <w:noProof w:val="0"/>
          <w:rtl/>
        </w:rPr>
        <w:t>חוק הסכמים לנשיאת עוברים</w:t>
      </w:r>
      <w:r>
        <w:rPr>
          <w:rFonts w:ascii="Arial" w:hAnsi="Arial"/>
          <w:noProof w:val="0"/>
          <w:rtl/>
        </w:rPr>
        <w:t xml:space="preserve">").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על פי עמדת ב"כ היועמ"ש, ניתן לראות במשיבה "אם מיועדת יחידה" כהגדרתה בחוק הסכמים לנשיאת עוברים וניתן לאפשר לה לעשות שימוש בעוברים המוקפאים בהתאם למתווה משפטי מורכב שהוצג.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על פי המתווה, המשיבה תחתום על הסכם פונדקאות כאם מיועדת יחידה, ובאמצעות צו הורות שיינתן לאחר הלידה, תנותק הן הזיקה של האם הנושאת והן הזיקה של המערער, ותיקבע בלעדיות ההורות של המשיבה. יצוין כי על פי העמדה שהוצגה, כדי להיכנס למתווה נדרש להכריע כי מבחינה עובדתית המערער נתן את הסכמתו מלכתחילה לכך שהמשיבה תהרה מזרעו, כשהוא אינו מתנגד, או לכל הפחות אדיש, לשאלה אם ההליך יכול להתבצע גם באמצעות פונדקאות, וההסכמה נמשכה גם בשלב שבו הופרו הביציות שנשאבו מרחמה של המשיבה.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b/>
          <w:bCs/>
          <w:noProof w:val="0"/>
          <w:u w:val="single"/>
          <w:rtl/>
        </w:rPr>
      </w:pPr>
      <w:r>
        <w:rPr>
          <w:rFonts w:ascii="Arial" w:hAnsi="Arial"/>
          <w:b/>
          <w:bCs/>
          <w:noProof w:val="0"/>
          <w:u w:val="single"/>
          <w:rtl/>
        </w:rPr>
        <w:t>פסק הדין של בית המשפט לעניני משפחה</w:t>
      </w:r>
    </w:p>
    <w:p w:rsidR="006D7615" w:rsidRDefault="006D7615" w:rsidP="006D7615">
      <w:pPr>
        <w:spacing w:line="360" w:lineRule="auto"/>
        <w:jc w:val="both"/>
        <w:rPr>
          <w:rFonts w:ascii="Arial" w:hAnsi="Arial"/>
          <w:noProof w:val="0"/>
          <w:rtl/>
        </w:rPr>
      </w:pPr>
      <w:r>
        <w:rPr>
          <w:rFonts w:ascii="Arial" w:hAnsi="Arial"/>
          <w:noProof w:val="0"/>
          <w:rtl/>
        </w:rPr>
        <w:t xml:space="preserve"> </w:t>
      </w:r>
    </w:p>
    <w:p w:rsidR="006D7615" w:rsidRDefault="006D7615" w:rsidP="006D7615">
      <w:pPr>
        <w:spacing w:line="360" w:lineRule="auto"/>
        <w:ind w:left="720" w:hanging="720"/>
        <w:jc w:val="both"/>
        <w:rPr>
          <w:rFonts w:ascii="Arial" w:hAnsi="Arial"/>
          <w:noProof w:val="0"/>
          <w:rtl/>
        </w:rPr>
      </w:pPr>
      <w:r>
        <w:rPr>
          <w:rFonts w:ascii="Arial" w:hAnsi="Arial"/>
          <w:noProof w:val="0"/>
          <w:rtl/>
        </w:rPr>
        <w:t>13.</w:t>
      </w:r>
      <w:r>
        <w:rPr>
          <w:rFonts w:ascii="Arial" w:hAnsi="Arial"/>
          <w:noProof w:val="0"/>
          <w:rtl/>
        </w:rPr>
        <w:tab/>
        <w:t xml:space="preserve">בית המשפט לענייני משפחה בבאר שבע (כב' השופטת רותם קודלר-עיאש, ס"נ) קיבל את התביעה, והתיר למשיבה לעשות בעוברים שימוש באמצעות "אם נושאת". בית המשפט </w:t>
      </w:r>
      <w:r>
        <w:rPr>
          <w:rFonts w:ascii="Arial" w:hAnsi="Arial"/>
          <w:noProof w:val="0"/>
          <w:rtl/>
        </w:rPr>
        <w:lastRenderedPageBreak/>
        <w:t>קבע כי הסכמת המערער ליצירת העוברים היא הסכמה סופית ובלתי חוזרת, שיש בה כדי לאפשר למשיבה שימוש בעוברים גם באמצעות "אם נושאת". נקבע כי לצורך מימוש ההורות, על פי עמדת ב"כ היועמ"ש, המשיבה תיחשב "אם מיועדת יחידה".</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noProof w:val="0"/>
          <w:rtl/>
        </w:rPr>
      </w:pPr>
      <w:r>
        <w:rPr>
          <w:rFonts w:ascii="Arial" w:hAnsi="Arial"/>
          <w:noProof w:val="0"/>
          <w:rtl/>
        </w:rPr>
        <w:t>14.</w:t>
      </w:r>
      <w:r>
        <w:rPr>
          <w:rFonts w:ascii="Arial" w:hAnsi="Arial"/>
          <w:noProof w:val="0"/>
          <w:rtl/>
        </w:rPr>
        <w:tab/>
        <w:t>לכל אורכו של פסק הדין, הדגיש בית המשפט את מעמדה הרם של הזכות להורות.</w:t>
      </w:r>
    </w:p>
    <w:p w:rsidR="006D7615" w:rsidRDefault="006D7615" w:rsidP="006D7615">
      <w:pPr>
        <w:spacing w:line="360" w:lineRule="auto"/>
        <w:ind w:left="720"/>
        <w:jc w:val="both"/>
        <w:rPr>
          <w:rFonts w:ascii="Arial" w:hAnsi="Arial"/>
          <w:noProof w:val="0"/>
          <w:rtl/>
        </w:rPr>
      </w:pPr>
      <w:r>
        <w:rPr>
          <w:rFonts w:ascii="Arial" w:hAnsi="Arial"/>
          <w:noProof w:val="0"/>
          <w:rtl/>
        </w:rPr>
        <w:t>בית המשפט עמד על ההתנגשות בין זכות המשיבה להיות הורה לילד ביולוגי, לבין זכות המערער שלא להיות הורה לעוברים שיצר עם המשיבה, וקבע כי אין מדובר בהתנגשות של זכויות שוות משקל והיקף. זכות המשיבה להורות היא זכות מהותית עקרונית – שכן זו האפשרות היחידה שלה להפוך להורה לילד גנטי שלה - ואילו זכות המערער היא ב"פריפריה" ולא בליבת הזכות. המערער אינו מתנגד באופן עקרוני מהותי להורות, שהרי הוא כבר הורה לשני ילדים, אלא מתנגד להורות לילדים שעשויים להיוולד מהעוברים המוקפאים הספציפיים.</w:t>
      </w:r>
    </w:p>
    <w:p w:rsidR="006D7615" w:rsidRDefault="006D7615" w:rsidP="006D7615">
      <w:pPr>
        <w:spacing w:line="360" w:lineRule="auto"/>
        <w:ind w:left="720"/>
        <w:jc w:val="both"/>
        <w:rPr>
          <w:rFonts w:ascii="Arial" w:hAnsi="Arial"/>
          <w:noProof w:val="0"/>
          <w:rtl/>
        </w:rPr>
      </w:pPr>
      <w:r>
        <w:rPr>
          <w:rFonts w:ascii="Arial" w:hAnsi="Arial"/>
          <w:noProof w:val="0"/>
          <w:rtl/>
        </w:rPr>
        <w:t>בית המשפט שלל אפוא סימטריה בין הזכויות, דבר המשליך על דרך האיזון בין הזכויות והאינטרסים של הצדדים.</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15.</w:t>
      </w:r>
      <w:r>
        <w:rPr>
          <w:rFonts w:ascii="Arial" w:hAnsi="Arial"/>
          <w:noProof w:val="0"/>
          <w:rtl/>
        </w:rPr>
        <w:tab/>
        <w:t>בית המשפט עמד בהרחבה על האמור בתצהיר עליו חתמו הצדדים, שהוא בבחינת "הסכם מיוחד" המהווה את הבסיס ליצירת העוברים, ועל השתלשלות שהדברים והנסיבות בהן נוצרו העוברים וההתפתחויות המאוחרות.</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בית המשפט פירש את "ההסכם המיוחד" ככזה שאינו מגביל את זכותה של המשיבה לעשות שימוש בעוברים המוקפאים גם ללא הסכמת המערער, כל עוד היא נושאת את ההיריון ברחמה, וההגבלה היא רק למצב של פונדקאות.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על פי פסק הדין, אין מחלוקת כי המערער נתן הסכמתו לכך שהמשיבה תהפוך לאם באמצעות העוברים גם אם השניים לא יקיימו מערכת יחסים זוגית, והמחלוקת היא האם ניתן להתיר השימוש באמצעות פונדקאית ולא באמצעות רחמה של המשיבה. נפסק כי מבחינה עובדתית הוכח שהמערער נתן הסכמתו להפריית החומרים הגנטיים כשהוא לוקח בחשבון את האפשרות המעשית שלא יהיה אב בפועל לילדים שייוולדו.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לצד זאת, בית המשפט מציין את טענת המערער כי הוסבר לו שלא ניתן יהיה לעשות שימוש בעוברים ללא הסכמתו. הטענה נדחתה בפסק הדין, בנימוק כי בתצהיר לא צוין כל צורך בקבלת הסכמתו של המערער לצורך החזרת העוברים לרחמה של המשיבה. נפסק כי בלתי סביר שהתקיימה שיחה משמעותית בשאלת ההסכמה אצל פרופ' לויטס, שכן אם בזמן אמת המערער היה משקף למשיבה את האפשרות שהסכמתו מוטלת בספק, הייתה נפתחת בפני המשיבה האפשרות לבחור בהפריה באמצעות תרומת זרע, או להקפיא חלק מהביציות </w:t>
      </w:r>
      <w:r>
        <w:rPr>
          <w:rFonts w:ascii="Arial" w:hAnsi="Arial"/>
          <w:noProof w:val="0"/>
          <w:rtl/>
        </w:rPr>
        <w:lastRenderedPageBreak/>
        <w:t xml:space="preserve">טרם הפרייתן. המערער בזמן אמת עשה בחירה שמשמעותה הגבלה בלתי הפיכה עבור המשיבה, להיות אם אך ורק לילדים שיוולדו מזרעו. לכך יש השלכות בלתי הפיכות, ואין לחמוק מהן בשל כריתת רחמה של המשיבה.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מכאן הקביעה של בית המשפט כי המערער נתן הסכמתו להפריית החומרים הגנטיים כשהוא לוקח בחשבון את האפשרות המעשית שלא יהיה אב בפועל לילדים שיוולדו.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16.</w:t>
      </w:r>
      <w:r>
        <w:rPr>
          <w:rFonts w:ascii="Arial" w:hAnsi="Arial"/>
          <w:noProof w:val="0"/>
          <w:rtl/>
        </w:rPr>
        <w:tab/>
        <w:t xml:space="preserve">מבחינה עובדתית, בית המשפט קבע כי במועד מתן הסכמתו של המערער להפרות את ביציות המשיבה בזרעו היה ידוע לו כי לאחר סבב הטיפולים הראשון הופסק הטיפול במשיבה ולא יהיו לה ביציות נוספות. </w:t>
      </w:r>
    </w:p>
    <w:p w:rsidR="006D7615" w:rsidRDefault="006D7615" w:rsidP="006D7615">
      <w:pPr>
        <w:spacing w:line="360" w:lineRule="auto"/>
        <w:ind w:left="720"/>
        <w:jc w:val="both"/>
        <w:rPr>
          <w:rFonts w:ascii="Arial" w:hAnsi="Arial"/>
          <w:noProof w:val="0"/>
          <w:rtl/>
        </w:rPr>
      </w:pPr>
      <w:r>
        <w:rPr>
          <w:rFonts w:ascii="Arial" w:hAnsi="Arial"/>
          <w:noProof w:val="0"/>
          <w:rtl/>
        </w:rPr>
        <w:t>על פי פסק הדין, בזמן אמת הסביר פרופ' לויטס לשני הצדדים כי הצורך להפרות את הביציות כבר בשלב זה, ולא להקפיאן כביציות לא מופרות, נעוץ בכך שהמשיבה לא תוכל לבצע טיפולי פוריות נוספים בשל התגובה הקשה שלה לטיפולים ההורמונליים.</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מכאן המסקנה של בית המשפט, כי במועד מתן ההסכמה להפריה ובמועד ביצוע ההפריה היה ברור למערער שהאפשרות היחידה של המשיבה לממש את זכותה להורות תהיה באמצעות העוברים שנוצרו משלוש הביציות שנשאבו מגופה והופרו בזרעו. הוא נתן הסכמתו לתהליך ההפריה, כשכבר היה ידוע שנשאבו רק שלוש ביציות ולא יבוצע תהליך שאיבה נוסף.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17.</w:t>
      </w:r>
      <w:r>
        <w:rPr>
          <w:rFonts w:ascii="Arial" w:hAnsi="Arial"/>
          <w:noProof w:val="0"/>
          <w:rtl/>
        </w:rPr>
        <w:tab/>
        <w:t xml:space="preserve">פסק הדין התמקד אפוא בכך שעל פי סעיף 3 להסכם המיוחד, העוברים מיועדים להחזרה לרחמה של המשיבה ולא לאם פונדקאית. השאלה המרכזית בפסק הדין היא האם להתיר שימוש בעוברים באמצעות פונדקאות חרף האמור בסעיף 3 להסכם המיוחד.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נפסק כי ההסכם המיוחד אינו מתייחס למצב העובדתי שנוצר בסמוך לאחר חתימתו ולאחר יצירת העוברים, של כריתת רחמה של המשיבה, כך שהשימוש בעוברים באמצעות החזרתם לרחמה של המשיבה אינו אפשרי עוד לביצוע.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18.</w:t>
      </w:r>
      <w:r>
        <w:rPr>
          <w:rFonts w:ascii="Arial" w:hAnsi="Arial"/>
          <w:noProof w:val="0"/>
          <w:rtl/>
        </w:rPr>
        <w:tab/>
        <w:t xml:space="preserve">בית המשפט מצא חוסר הלימה בין סעיף 3 להסכם המיוחד לבין סעיף 7 להסכם, המקנה לצדדים באופן הדדי את הרשות לבחור בדרך הטיפול בחומר הגנטי, במקרה של העלמות או פטירת האחר. את סעיף 7 פירש בית המשפט כך שבמקרה של פטירה או העלמות המשיבה, המערער יכול לעשות שימוש בעוברים באמצעות פונדקאית. בית המשפט ראה בכך משום זכות עודפת של המערער על פני זכות המשיבה, זכות לעשות שימוש בעוברים </w:t>
      </w:r>
      <w:r>
        <w:rPr>
          <w:rFonts w:ascii="Arial" w:hAnsi="Arial"/>
          <w:noProof w:val="0"/>
          <w:rtl/>
        </w:rPr>
        <w:lastRenderedPageBreak/>
        <w:t xml:space="preserve">בכל דרך שיבחר. מכאן מסקנתו כי אין זה סביר כי למשיבה לא יתאפשר להשתמש בפונדקאות.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19.</w:t>
      </w:r>
      <w:r>
        <w:rPr>
          <w:rFonts w:ascii="Arial" w:hAnsi="Arial"/>
          <w:noProof w:val="0"/>
          <w:rtl/>
        </w:rPr>
        <w:tab/>
        <w:t xml:space="preserve">נפסק כי נוכח השינוי במצב הרפואי של המשיבה, שרחמה נכרת, האמור בסעיף 3 להסכם כלל אינו אפשרי. </w:t>
      </w:r>
    </w:p>
    <w:p w:rsidR="006D7615" w:rsidRDefault="006D7615" w:rsidP="006D7615">
      <w:pPr>
        <w:spacing w:line="360" w:lineRule="auto"/>
        <w:ind w:left="720"/>
        <w:jc w:val="both"/>
        <w:rPr>
          <w:rFonts w:ascii="Arial" w:hAnsi="Arial"/>
          <w:noProof w:val="0"/>
          <w:rtl/>
        </w:rPr>
      </w:pPr>
      <w:r>
        <w:rPr>
          <w:rFonts w:ascii="Arial" w:hAnsi="Arial"/>
          <w:noProof w:val="0"/>
          <w:rtl/>
        </w:rPr>
        <w:t>במועד חתימת הצדדים על ההסכם המיוחד היה למשיבה רחם וההסכם אינו מתייחס למצב בו לא יהיה לה רחם. נפסק כי בלתי סביר להתעלם מהאפשרות הטמונה בסעיף 7 להסכם המיוחד עבור שני הצדדים, במצב בו מי מהם רוצה לעשות שימוש בעוברים בהעדרו של האחר. בית המשפט הקיש מהאמור בסעיף 7 למצב של היעדר רחם בגופה של האישה.</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20.</w:t>
      </w:r>
      <w:r>
        <w:rPr>
          <w:rFonts w:ascii="Arial" w:hAnsi="Arial"/>
          <w:noProof w:val="0"/>
          <w:rtl/>
        </w:rPr>
        <w:tab/>
        <w:t xml:space="preserve">בית המשפט הוסיף וקבע כי בעקבות הסכמת המערער לבצע תהליך הפריית זרעו בביצית המשיבה, נכרך גורלה בגורלו והיא שינתה מצבה בצורה קיצונית לרעה.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כאמור, הקביעה העובדתית הייתה כי בעת הסכמת המערער להפרות את הביציות הוא ידע שלמשיבה רק 3 ביציות ולא יהיו לה ביציות נוספות, ולכן אם יופרו הביציות מזרעו זו תהא האפשרות היחידה של המשיבה לממש הורות.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נפסק כי לא ניתן להתעלם מהאפשרות כי אם המערער לא היה מסכים להפרות את ביציות המשיבה בזרעו, היא הייתה יכולה לבחור בהפריה מזרעו של גבר אחר, למשל תרומה אנונימית.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21.</w:t>
      </w:r>
      <w:r>
        <w:rPr>
          <w:rFonts w:ascii="Arial" w:hAnsi="Arial"/>
          <w:noProof w:val="0"/>
          <w:rtl/>
        </w:rPr>
        <w:tab/>
        <w:t xml:space="preserve">בית המשפט פסק כי המערער לא נהג בשקיפות במהלך תהליך ההפריה שביצעו הצדדים. במעשיו ובדבריו אל המשיבה הוא יצר מצג של שותף מלא התומך בתהליך שימור הפוריות שעברה ומהווה חלק ממנו. המשיבה פעלה תוך הסתמכות על מצג לפיו תוכל להיות אם לעוברים אלה שהמשיב יוצר יחד עמה.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נפסק כי לו נהג המערער כלפי המשיבה בתום לב ובגילוי נאות באותה נקודת זמן, היה מותיר בידיה את האפשרות לבחור לממש את נתיב ההורות שלה בדרכים אחרות, וזאת בטרם נכרת רחמה.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יש לראות את הסתמכותה של המשיבה על הסכמתו הראשונית של המערער כהסתמכות סבירה לכל הפחות. משכך, אין חזרה מן הדרך שבה ביקשו השניים ללכת.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הסכמתו של המערער נועדה לרצות את המשיבה באותה עת ולאפשר לה לשאת את עיניה קדימה לעתיד שבו היא יכולה לראות עצמה כאם לילדים למרות מצבה הרפואי.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בית המשפט קבע כי בעת שהמערער נתן הסכמתו לשימוש בזרעו לצורך הפריית הביציות, כבר גמלה בלבו ההחלה להיפרד מהמשיבה. דבר לא מנע ממנו בזמן אמת להגיד למשיבה </w:t>
      </w:r>
      <w:r>
        <w:rPr>
          <w:rFonts w:ascii="Arial" w:hAnsi="Arial"/>
          <w:noProof w:val="0"/>
          <w:rtl/>
        </w:rPr>
        <w:lastRenderedPageBreak/>
        <w:t xml:space="preserve">שהוא אינו מעונין כי יעשה שימוש בזרעו. אך הוא נתן הסכמה לתהליך ההפריה, כשכבר היה ידוע שנשאבו רק שלוש ביציות ולא יבוצע תהליך שאיבה נוסף. </w:t>
      </w:r>
    </w:p>
    <w:p w:rsidR="006D7615" w:rsidRDefault="006D7615" w:rsidP="006D7615">
      <w:pPr>
        <w:spacing w:line="360" w:lineRule="auto"/>
        <w:ind w:firstLine="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מכאן מסקנת בית המשפט שעומד נגד המערער "השתק הבטחה" - התחייבותו ומעשיו מהווים הסכמה סופית שלא ניתן לחזור ממנה.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בית המשפט הוסיף וקבע, כי המערער הוליך שולל את המשיבה ופעל בחוסר תום לב כלפיה. לכן גם משיקולי צדק יש לקבוע כי משמעות ותוצאות ההבטחות שנתן והמעשים שבחר לעשות, מחייבים אותו ולא ניתן לאפשר לו לחזור מהם.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22.</w:t>
      </w:r>
      <w:r>
        <w:rPr>
          <w:rFonts w:ascii="Arial" w:hAnsi="Arial"/>
          <w:noProof w:val="0"/>
          <w:rtl/>
        </w:rPr>
        <w:tab/>
        <w:t xml:space="preserve">בית המשפט קבע כי שאלת אופן השימוש בעוברים המוקפאים – האם בהחזרה לרחמה של המשיבה או באמצעות פונדקאית – היא טכנית בעיקרה ולא נתפסה בנקודת הזמן הרלוונטית כמהותית על ידי המערער, שאם לא כן היה מעלה שאלות בחדרו של פרופ' לויטס.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למערער לא הייתה באותה נקודת זמן עמדה שלילית כלפי שימוש בביציות המופרות באם נושאת פונדקאית. </w:t>
      </w:r>
    </w:p>
    <w:p w:rsidR="006D7615" w:rsidRDefault="006D7615" w:rsidP="006D7615">
      <w:pPr>
        <w:spacing w:line="360" w:lineRule="auto"/>
        <w:jc w:val="both"/>
        <w:rPr>
          <w:rFonts w:ascii="Arial" w:hAnsi="Arial"/>
          <w:i/>
          <w:iCs/>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23.</w:t>
      </w:r>
      <w:r>
        <w:rPr>
          <w:rFonts w:ascii="Arial" w:hAnsi="Arial"/>
          <w:noProof w:val="0"/>
          <w:rtl/>
        </w:rPr>
        <w:tab/>
        <w:t xml:space="preserve">בית המשפט קיבל את גרסת המשיבה כי לאחר ששיתפה את המערער בכך שהיא נאלצת לעבור כריתת רחם, הוא ניחם אותה ואמר לה "אל תדאגי יש לנו את העוברים". התקבלה גרסת המשיבה על כך שהמערער הציג בפניה תמונה תומכת, והשניים נשאו עיניהם יחד אל עבר העתיד.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24.</w:t>
      </w:r>
      <w:r>
        <w:rPr>
          <w:rFonts w:ascii="Arial" w:hAnsi="Arial"/>
          <w:noProof w:val="0"/>
          <w:rtl/>
        </w:rPr>
        <w:tab/>
        <w:t>בית המשפט לא קיבל את גרסת המערער כי הצדדים היו בזוגיות אגבית ובלתי מבוססת, כאשר אין פניהם לבניית תא משפחתי משותף. בית המשפט קבע כי הצדדים ניהלו מערכת יחסים משמעותית, כאשר המערער היה מעורב בזמן אמת בכל החלטותיה של המשיבה. הוא ליווה אותה בטיפולים הרפואיים, הגיע מרצונו החופשי לפגישות עם הרופאים, חתם מרצונו החופשי על מסמכים וביצע פעולות רפואיות במסגרתן הופרו שלוש הביציות היחידות של המשיבה בזרעו. בית המשפט הדגיש במיוחד את הפעולה הרצונית של הוצאת הזרע מגופו, פעולה שבוצעה כאשר הוא לבדו וללא כפייה.</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מגרסתו של המערער על כך שהסכים להפריית הביציות בזרעו, שעה שידע שאין לצדדים עתיד משותף והזוגיות תלויה על בלימה, הסיק בית המשפט כי הוא בחר ליצור עוברים משותפים, הגם שידע שהוא לא יהיה בן הזוג של המשיבה בעת השימוש בעוברים. רק בדיעבד כיום הוא טוען שאינו יכול לחיות עם האפשרות שיוולדו ילדים יוצאי חלציו, </w:t>
      </w:r>
      <w:r>
        <w:rPr>
          <w:rFonts w:ascii="Arial" w:hAnsi="Arial"/>
          <w:noProof w:val="0"/>
          <w:rtl/>
        </w:rPr>
        <w:lastRenderedPageBreak/>
        <w:t>כשהוא אינו שותף לגידולם. ההסכמה שנתן בשעתו מחייבת אותו גם היום, וגוברת על סעיף 3 להסכם המיוחד. ההסכם המיוחד לא הביא בחשבון את כל האפשרויות, ולא התייחס לאפשרות שהמשיבה תעבור כריתת רחם.</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נפסק איפוא כי נוכח שינוי הנסיבות יש לאפשר את השימוש בעוברים המוקפאים, גם באמצעות פונדקאות. </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noProof w:val="0"/>
          <w:u w:val="single"/>
          <w:rtl/>
        </w:rPr>
      </w:pPr>
      <w:r>
        <w:rPr>
          <w:rFonts w:ascii="Arial" w:hAnsi="Arial"/>
          <w:noProof w:val="0"/>
          <w:u w:val="single"/>
          <w:rtl/>
        </w:rPr>
        <w:t>הערעור</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25.</w:t>
      </w:r>
      <w:r>
        <w:rPr>
          <w:rFonts w:ascii="Arial" w:hAnsi="Arial"/>
          <w:noProof w:val="0"/>
          <w:rtl/>
        </w:rPr>
        <w:tab/>
        <w:t>המערער אינו משלים עם פסק הדין ועומד על התנגדותו הנחרצת לשימוש בעוברים המוקפאים. לטענתו, בית המשפט אינו יכול ליצור עבור הצדדים ילוד יש מאין, או להכתיב להם הסכם השונה מההסכמות שהיו ביניהם. נטען בערעור כי פסק הדין מנוגד להסכמה המפורשת של הצדדים, וכן לחוק הסכמים לנשיאת עוברים, כפי שהיה בעת הליך שימור הפוריות. נטען כי גם על פי הוראות החוק היום, המאפשרות לאם מיועדת יחידה לקיים הליך של פונדקאות, המשיבה אינה יכולה להיחשב כזו, כיוון שלעוברים שני שותפים.</w:t>
      </w:r>
    </w:p>
    <w:p w:rsidR="006D7615" w:rsidRDefault="006D7615" w:rsidP="006D7615">
      <w:pPr>
        <w:spacing w:line="360" w:lineRule="auto"/>
        <w:ind w:left="720" w:hanging="720"/>
        <w:jc w:val="both"/>
        <w:rPr>
          <w:rFonts w:ascii="Arial" w:hAnsi="Arial"/>
          <w:noProof w:val="0"/>
          <w:rtl/>
        </w:rPr>
      </w:pPr>
      <w:r>
        <w:rPr>
          <w:rFonts w:ascii="Arial" w:hAnsi="Arial"/>
          <w:noProof w:val="0"/>
          <w:rtl/>
        </w:rPr>
        <w:tab/>
      </w:r>
    </w:p>
    <w:p w:rsidR="006D7615" w:rsidRDefault="006D7615" w:rsidP="006D7615">
      <w:pPr>
        <w:spacing w:line="360" w:lineRule="auto"/>
        <w:ind w:left="720" w:hanging="720"/>
        <w:jc w:val="both"/>
        <w:rPr>
          <w:rFonts w:ascii="Arial" w:hAnsi="Arial"/>
          <w:noProof w:val="0"/>
          <w:rtl/>
        </w:rPr>
      </w:pPr>
      <w:r>
        <w:rPr>
          <w:rFonts w:ascii="Arial" w:hAnsi="Arial"/>
          <w:noProof w:val="0"/>
          <w:rtl/>
        </w:rPr>
        <w:t>26.</w:t>
      </w:r>
      <w:r>
        <w:rPr>
          <w:rFonts w:ascii="Arial" w:hAnsi="Arial"/>
          <w:noProof w:val="0"/>
          <w:rtl/>
        </w:rPr>
        <w:tab/>
        <w:t xml:space="preserve">המערער טוען כי על פי ההסכם המיוחד, ההסכמה של הצדדים היא סופית ובלתי חוזרת רק מעת החדרת העוברים לרחם של המשיבה – כך לפי סעיף 4 להסכם. הוא טוען כי כשם שלא יעלה על הדעת שהסכמת המשיבה בשלב ההפריה החוץ גופית היא בלתי חוזרת, ואפשר לכפות עליה החזרת העוברים לגופה, היריון והולדה, כך לא יעלה על הדעת שהסכמת המערער היא בלתי חוזרת מעת היווצרות העוברים.   </w:t>
      </w:r>
    </w:p>
    <w:p w:rsidR="006D7615" w:rsidRDefault="006D7615" w:rsidP="006D7615">
      <w:pPr>
        <w:spacing w:line="360" w:lineRule="auto"/>
        <w:ind w:left="720"/>
        <w:jc w:val="both"/>
        <w:rPr>
          <w:rFonts w:ascii="Arial" w:hAnsi="Arial"/>
          <w:noProof w:val="0"/>
          <w:rtl/>
        </w:rPr>
      </w:pPr>
      <w:r>
        <w:rPr>
          <w:rFonts w:ascii="Arial" w:hAnsi="Arial"/>
          <w:noProof w:val="0"/>
          <w:rtl/>
        </w:rPr>
        <w:t>לדידו של המערער, סעיפי ההסכם המיוחד שזורים זה בזה בהלימה מוחלטת; כל עוד בן הזוג בחיים דרושה הסכמתו לכל שלב, עד ההחזרה לגופה של המשיבה, היא נקודת האל-חזור. העובדה שלמשיבה אין רחם מעקרת את קרביו של ההסכם והוא איננו בר יישום, ובית המשפט אינו רשאי לעצב הסכם חדש לצדדים.</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המערער מפנה לתקנה 14(א) לתקנות בריאות העם (הפריה חוץ גופית) התשמ"ז-1987, המחייבות הסכמה מדעת לכל שלב בהליכי ההפריה החוץ גופית, ולחוק להסכמים לנשיאת עוברים, המחייב אף הוא הסכמה מדעת לכל שלב משלבי התהליך, לרבות שלב החתימה על ההסכם עם "אם נושאת". המערער טוען כי חוק הסכמים לנשיאת עוברים אינו חל על הצדדים, כיוון שהסכימו שהעוברים אינם מיועדים להחדרה ל"אם נושאת". לשיטת המשיב, בשל הוראות ההסכם המיוחד לא ניתן לשחרר אותו מחבותו ההורית כלפי העוברים. </w:t>
      </w:r>
    </w:p>
    <w:p w:rsidR="006D7615" w:rsidRDefault="006D7615" w:rsidP="006D7615">
      <w:pPr>
        <w:spacing w:line="360" w:lineRule="auto"/>
        <w:jc w:val="both"/>
        <w:rPr>
          <w:rFonts w:ascii="Arial" w:hAnsi="Arial"/>
          <w:noProof w:val="0"/>
          <w:rtl/>
        </w:rPr>
      </w:pPr>
      <w:r>
        <w:rPr>
          <w:rFonts w:ascii="Arial" w:hAnsi="Arial"/>
          <w:noProof w:val="0"/>
          <w:rtl/>
        </w:rPr>
        <w:tab/>
      </w:r>
    </w:p>
    <w:p w:rsidR="006D7615" w:rsidRDefault="006D7615" w:rsidP="006D7615">
      <w:pPr>
        <w:spacing w:line="360" w:lineRule="auto"/>
        <w:ind w:left="720" w:hanging="720"/>
        <w:jc w:val="both"/>
        <w:rPr>
          <w:rFonts w:ascii="Arial" w:hAnsi="Arial"/>
          <w:noProof w:val="0"/>
          <w:rtl/>
        </w:rPr>
      </w:pPr>
      <w:r>
        <w:rPr>
          <w:rFonts w:ascii="Arial" w:hAnsi="Arial"/>
          <w:noProof w:val="0"/>
          <w:rtl/>
        </w:rPr>
        <w:lastRenderedPageBreak/>
        <w:t>27.</w:t>
      </w:r>
      <w:r>
        <w:rPr>
          <w:rFonts w:ascii="Arial" w:hAnsi="Arial"/>
          <w:noProof w:val="0"/>
          <w:rtl/>
        </w:rPr>
        <w:tab/>
        <w:t>המערער מוסיף וטוען כי שני הצדדים שמעו היטב את הסבריו של הרופא המטפל, וידעו היטב למה הם מסכימים. הובהר להם היטב כי הביציות מיועדות להחזרה לרחמה של המשיבה, כי לכל אחד מהצדדים שמורה הזכות לחזור בו מהסכמתו עד ההחזרה לרחמה של המשיבה, וכי מעת שיבוא ילוד לחיים הם אחראים כלפיו באחריות מלאה כהורים, גם אם לא יישארו ביחד.</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28.</w:t>
      </w:r>
      <w:r>
        <w:rPr>
          <w:rFonts w:ascii="Arial" w:hAnsi="Arial"/>
          <w:noProof w:val="0"/>
          <w:rtl/>
        </w:rPr>
        <w:tab/>
        <w:t xml:space="preserve">בפי המערער טענה עובדתית נוספת בו שגה לטענתו בית המשפט לענייני משפחה. נטען כי בניגוד לקביעת בית המשפט, ועל כך לא הייתה מחלוקת בין בעלי הדין, במועד החתימה על ההסכם המיוחד שני הצדדים לא ידעו שבעתיד יהיו רק 3 ביציות ויופסק הליך שימור הפוריות. בעת שהסכימו להפריית הביציות בזרעו של המערער, ההמלצה לצדדים הייתה כי יופקו הן ביציות והן עוברים מוקפאים, המלצה שבאה להבטיח שאם חלילה בני הזוג ייפרדו, המשיבה תוכל לממש פריון בנפרד. מהירות ההתרחשות ומצוקתה של המשיבה הובילו לכך שהיא ביקשה מהמערער לשתף פעולה באפשרות להבטיח, טרום הטיפולים הכימותרפיים, את עזרתו בשימוש יכולתה העתידית לפריון. המערער הסכים לשתף פעולה כאשר ההסכמה הייתה שאם מפרים את הביציות, השימוש בהן יהיה בהסכמה הדדית של שני הצדדים. באותה עת שני הצדדים סברו כי לרשות המשיבה יהיו גם ביציות מוקפאות, ואיש מהם לא ידע מראש שהדבר יישלל מפאת התדרדרות במצבה הבריאותי של המשיבה.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לבסוף טוען המערער כי לא נתן למשיבה הבטחה כלשהי לפני כריתת רחמה, לגבי השימוש בעוברים. כראיה לכך מפנה המערער לפניות ושיחות של המשיבה עמו, בהם לא ציינה אף פעם הבטחה מעין זו.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29.</w:t>
      </w:r>
      <w:r>
        <w:rPr>
          <w:rFonts w:ascii="Arial" w:hAnsi="Arial"/>
          <w:noProof w:val="0"/>
          <w:rtl/>
        </w:rPr>
        <w:tab/>
        <w:t xml:space="preserve">המערער אינו מקבל את הקביעה כי בהתנגשות הזכויות, זכויותיו נמצאות במדרג נמוך מזכותה של המשיבה להורות. נטען כי שני הצדדים מכירים בערך ההורות, וזכויותיהם בליבת ערך ההורות. שניהם מבקשים לממש את חירותם ולבחור באורח אוטונומי כיצד לנהל את חייהם, והזכויות שלהם נמצאות במעמד שווה.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noProof w:val="0"/>
          <w:u w:val="single"/>
          <w:rtl/>
        </w:rPr>
      </w:pPr>
      <w:r>
        <w:rPr>
          <w:rFonts w:ascii="Arial" w:hAnsi="Arial"/>
          <w:noProof w:val="0"/>
          <w:u w:val="single"/>
          <w:rtl/>
        </w:rPr>
        <w:t>תגובת המשיבה לערעור</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30.</w:t>
      </w:r>
      <w:r>
        <w:rPr>
          <w:rFonts w:ascii="Arial" w:hAnsi="Arial"/>
          <w:noProof w:val="0"/>
          <w:rtl/>
        </w:rPr>
        <w:tab/>
        <w:t>המשיבה טוענת מנגד כי לא נפלה שגגה בפסק הדין המבוסס על מכלול הראיות שהונחו בפני בית המשפט, ובפרט על מהימנות הצדדים בחקירותיהם. המשיבה מצדדת בכל הממצאים העובדתיים של הערכאה הדיונית.</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lastRenderedPageBreak/>
        <w:t xml:space="preserve">לטענת המשיבה, במועד שבו הצדדים יצרו את העוברים, המערער צפה או לכל הפחות היה צריך לצפות, מגוון תרחישים הנובעים ממצבה הרפואי של המשיבה, שעלולים להגביל את יכולתה להביא בעתיד ילדים לעולם. התצהיר עליו חתמו הצדדים הוא מסמך פורמלי שהצדדים לא נתנו את הדעת על תוכנו, לרבות סעיף 3 לאותו מסמך, בו כתוב שהעוברים מיועדים להחדרה לרחמה של המשיבה ולא לפונדקאית. זהו מסמך סטנדרטי עליו חתמו הצדדים עת היה למשיבה רחם. בהסכם קיימת לקונה ביחס למצב של היעדר רחם בגופה של המשיבה. בצדק נפסק כי סעיף 3 להסכם אינו יכול להוות חסם בפני שימוש בפונדקאות בנסיבות החדשות והמצערות שנוצרו עם כריתת רחמה של המשיבה.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 xml:space="preserve">31. </w:t>
      </w:r>
      <w:r>
        <w:rPr>
          <w:rFonts w:ascii="Arial" w:hAnsi="Arial"/>
          <w:noProof w:val="0"/>
          <w:rtl/>
        </w:rPr>
        <w:tab/>
        <w:t xml:space="preserve">המשיבה מדגישה כי המערער - שהיה מודע למיעוט הביציות שנשאבו מגופה של המשיבה, וכפועל יוצא מכך לקושי בהפקת ביציות נוספות בשל מצבה הרפואי - בחר בכל זאת להפרות את שלוש הביציות בזרעו. מכאן שהוא לקח בחשבון מגוון תרחישים עתידיים אפשריים הנובעים ממצבה הרפואי של המשיבה, לרבות האפשרות שלא ניתן יהיה להפיק ביציות נוספות או שלא ניתן יהיה להחזיר עוברים ברחמה.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במועד יצירת העוברים, המשיבה קשרה את כל עתיד הורותה בשלושת העוברים המוקפאים, שכן המערער לא העלה ולו בדל של ספק ביחס לשלמות נכונותו להבטיח את עתיד הורותה. לו היה מעלה ספקות, הייתה המשיבה יכולה בזמן אמת שלא להפרות את הביציות בזרעו של המערער, אלא להקפיאן ללא הפריה.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עוד מדגישה המשיבה, כי המערער הרגיע אותה כשהתבשרה שעליה לעבור כריתת רחם, ואמר לה "</w:t>
      </w:r>
      <w:r>
        <w:rPr>
          <w:rFonts w:ascii="Arial" w:hAnsi="Arial"/>
          <w:b/>
          <w:bCs/>
          <w:noProof w:val="0"/>
          <w:rtl/>
        </w:rPr>
        <w:t>אל תדאגי יש לנו את העוברים</w:t>
      </w:r>
      <w:r>
        <w:rPr>
          <w:rFonts w:ascii="Arial" w:hAnsi="Arial"/>
          <w:noProof w:val="0"/>
          <w:rtl/>
        </w:rPr>
        <w:t xml:space="preserve">". מאמירה זו מבקשת המשיבה לגזור הסכמה של המערער לביצוע פונדקאות, לאחר שהמשיבה תעבור כריתת רחם.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32.</w:t>
      </w:r>
      <w:r>
        <w:rPr>
          <w:rFonts w:ascii="Arial" w:hAnsi="Arial"/>
          <w:noProof w:val="0"/>
          <w:rtl/>
        </w:rPr>
        <w:tab/>
        <w:t xml:space="preserve">המשיבה טוענת כי לא נדרשת הסכמת המערער לשימוש בעוברים באופן עקרוני, ללא קשר לסוגיית הפונדקאות. לטענתה, לפי ההסכם המיוחד, אין צורך בהסכמת המערער לשם שימוש בעוברים בעתיד. בהסכם אף קיימות הוראות הלוקחות בחשבון אפשרות כי המשיבה תגדל את הילד כאם בנפרד. הדבר מלמד על כך שהשימוש בעוברים המוקפאים לא הותנה בקיומה של זוגיות בין הצדדים או בקבלת הסכמה מהמערער.  </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noProof w:val="0"/>
          <w:u w:val="single"/>
          <w:rtl/>
        </w:rPr>
      </w:pPr>
      <w:r>
        <w:rPr>
          <w:rFonts w:ascii="Arial" w:hAnsi="Arial"/>
          <w:noProof w:val="0"/>
          <w:u w:val="single"/>
          <w:rtl/>
        </w:rPr>
        <w:t>עמדת ב"כ היועמ"ש</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33.</w:t>
      </w:r>
      <w:r>
        <w:rPr>
          <w:rFonts w:ascii="Arial" w:hAnsi="Arial"/>
          <w:noProof w:val="0"/>
          <w:rtl/>
        </w:rPr>
        <w:tab/>
        <w:t xml:space="preserve">בפתח העמדה של ב"כ היועמ"ש הובהר כי אין בכוונתה להתערב בטענות העובדתיות והחוזיות העולות בערעור. הערעור עוסק, רובו ככולו, בקביעות עובדתיות וחוזיות, ואין </w:t>
      </w:r>
      <w:r>
        <w:rPr>
          <w:rFonts w:ascii="Arial" w:hAnsi="Arial"/>
          <w:noProof w:val="0"/>
          <w:rtl/>
        </w:rPr>
        <w:lastRenderedPageBreak/>
        <w:t xml:space="preserve">דרכה של ערכאת הערעור להתערב. משאלה פני הדברים, ועל רקע ההכרעה העובדתית של בית המשפט קמא בשאלות העובדתיות והחוזיות שעמדו על הפרק, ובנסיבות החריגות של המקרה, ב"כ היועמ"ש שבה על עמדתה ועל המתווה להכרה במשיבה כאם מיועדת יחידה לצורך חוק הסכמים לנשיאת עוברים. </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noProof w:val="0"/>
          <w:u w:val="single"/>
          <w:rtl/>
        </w:rPr>
      </w:pPr>
      <w:r>
        <w:rPr>
          <w:rFonts w:ascii="Arial" w:hAnsi="Arial"/>
          <w:noProof w:val="0"/>
          <w:u w:val="single"/>
          <w:rtl/>
        </w:rPr>
        <w:t>מהלך הדיון</w:t>
      </w:r>
    </w:p>
    <w:p w:rsidR="006D7615" w:rsidRDefault="006D7615" w:rsidP="006D7615">
      <w:pPr>
        <w:spacing w:line="360" w:lineRule="auto"/>
        <w:jc w:val="both"/>
        <w:rPr>
          <w:rFonts w:ascii="Arial" w:hAnsi="Arial"/>
          <w:noProof w:val="0"/>
          <w:u w:val="single"/>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34.</w:t>
      </w:r>
      <w:r>
        <w:rPr>
          <w:rFonts w:ascii="Arial" w:hAnsi="Arial"/>
          <w:noProof w:val="0"/>
          <w:rtl/>
        </w:rPr>
        <w:tab/>
        <w:t xml:space="preserve">בתום הדיון בערעור ביום 17.7.2024 הורינו, בהסכמת הצדדים, על השלמת הבירור העובדתי, במובן זה שתישמענה עדויותיהם של פרופ' אליהו לויטס וד"ר איריס הר-ורדי מהמחלקה לפוריות בבית החולים סורוקה. מכוח סעיף 9 לחוק בית המשפט לעניני משפחה, ומטעמי יעילות וזירוז ההלכים, מצאנו לשמוע את העדים לפנינו. </w:t>
      </w:r>
    </w:p>
    <w:p w:rsidR="006D7615" w:rsidRDefault="006D7615" w:rsidP="006D7615">
      <w:pPr>
        <w:spacing w:line="360" w:lineRule="auto"/>
        <w:ind w:left="720"/>
        <w:jc w:val="both"/>
        <w:rPr>
          <w:rFonts w:ascii="Arial" w:hAnsi="Arial"/>
          <w:noProof w:val="0"/>
          <w:rtl/>
        </w:rPr>
      </w:pPr>
      <w:r>
        <w:rPr>
          <w:rFonts w:ascii="Arial" w:hAnsi="Arial"/>
          <w:noProof w:val="0"/>
          <w:rtl/>
        </w:rPr>
        <w:t>השניים התייצבו למסירת עדות ביום 30.10.2024.</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פרופ' לויטס העיד כי אינו זוכר את המערער והמשיבה ואת המקרה הפרטני שלהם. הוא העיד על האופן הכללי בו הוא נוהג בתהליך שימור פוריות ועל המצוי בתיק הרפואי של המשיבה.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פרופ' לויטס הסביר כי פגישת הייעוץ עמו היא פתיחת התהליך, והחתימה על "ההסכם המיוחד" היא תנאי לכניסה לתהליך. ככל והתהליך מתקדם להחזרת עוברים, שני בני הזוג צריכים להיות נוכחים שוב ולהחליט על החזרת העוברים. אם בן הזוג אינו מתייצב, הטיפול אינו מתבצע. </w:t>
      </w:r>
    </w:p>
    <w:p w:rsidR="006D7615" w:rsidRDefault="006D7615" w:rsidP="006D7615">
      <w:pPr>
        <w:spacing w:line="360" w:lineRule="auto"/>
        <w:ind w:left="720"/>
        <w:jc w:val="both"/>
        <w:rPr>
          <w:rFonts w:ascii="Arial" w:hAnsi="Arial"/>
          <w:noProof w:val="0"/>
          <w:rtl/>
        </w:rPr>
      </w:pPr>
      <w:r>
        <w:rPr>
          <w:rFonts w:ascii="Arial" w:hAnsi="Arial"/>
          <w:noProof w:val="0"/>
          <w:rtl/>
        </w:rPr>
        <w:t>פרופ' לויטס הסביר שמבחינה רפואית יש יתרון להקפאת עוברים על פני הקפאת ביציות, כי היכולת של עובר לשרוד הקפאה והפשרה טובה יותר. מדובר על 30-40% הצלחה בעוברים, ובביציות האחוזים נמוכים יותר. לצד זאת הוא הסביר שלגבי עובר, אם אחד מבני הזוג מתחרט אחרי ההפריה ולפני ההחזרה, התהליך נעצר ואין דרך להתקדם. כשמדובר בביציות, האישה יכולה לעשות איתן מה שהיא רוצה. לדבריו, הוא מסביר זאת לבני זוג שעוברים ייעוץ, אך לא מאריך בעניין כי אינו רוצה להביך את בני הזוג. הוא הדגיש שהאופציה של עוברים היא אופציה טובה יותר מבחינת הסיכויים שלה.</w:t>
      </w:r>
    </w:p>
    <w:p w:rsidR="006D7615" w:rsidRDefault="006D7615" w:rsidP="006D7615">
      <w:pPr>
        <w:spacing w:line="360" w:lineRule="auto"/>
        <w:ind w:left="720"/>
        <w:jc w:val="both"/>
        <w:rPr>
          <w:rFonts w:ascii="Arial" w:hAnsi="Arial"/>
          <w:noProof w:val="0"/>
          <w:rtl/>
        </w:rPr>
      </w:pPr>
      <w:r>
        <w:rPr>
          <w:rFonts w:ascii="Arial" w:hAnsi="Arial"/>
          <w:noProof w:val="0"/>
          <w:rtl/>
        </w:rPr>
        <w:t>מתוך עיון בתיק הרפואי של המשיבה, הסביר פרופ' לויטס כי המשיבה הייתה בסבב טיפולים לקראת שאיבה נוספת של ביציות שהייתה מתוכננת לדצמבר 2015, והדבר הופסק לבקשת הרופאים האונקולוגיים. לדבריו: "</w:t>
      </w:r>
      <w:r>
        <w:rPr>
          <w:rFonts w:ascii="Arial" w:hAnsi="Arial"/>
          <w:b/>
          <w:bCs/>
          <w:noProof w:val="0"/>
          <w:rtl/>
        </w:rPr>
        <w:t>היא התקדמה כבר די יפה, לפחות 10 ימים של טיפול. הינו ממש קרובים וזה רשום ומתועד</w:t>
      </w:r>
      <w:r>
        <w:rPr>
          <w:rFonts w:ascii="Arial" w:hAnsi="Arial"/>
          <w:noProof w:val="0"/>
          <w:rtl/>
        </w:rPr>
        <w:t xml:space="preserve">".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מתוך עיון בתיק הרפואי, פרופ' לויטס גם הסביר שהיה מדובר במצב של "שימור פוריות חירומי", והדברים התנהלו במהירות.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lastRenderedPageBreak/>
        <w:t>35.</w:t>
      </w:r>
      <w:r>
        <w:rPr>
          <w:rFonts w:ascii="Arial" w:hAnsi="Arial"/>
          <w:noProof w:val="0"/>
          <w:rtl/>
        </w:rPr>
        <w:tab/>
        <w:t xml:space="preserve">לאחר עדותו של פרופ' לויטס הצדדים ויתרו על חקירתה של ד"ר איריס הר-ורדי וב"כ הצדדים השלימו את טיעוניהם.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ב"כ המערער טענה כי הוראות ההסכם מאוד ברורות, מפורשות וחד משמעיות. התהליך בנוי מכמה שלבים וכאשר צד אחד אינו מסכים לאיזה מן השלבים, התהליך אינו יכול להימשך.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ב"כ המערער הוסיפה וטענה כי במועד ביצוע ההפריה של הביציות, לא היה ידוע למי מהצדדים שהעוברים הם הפתרון היחיד למימוש הורותה של המשיבה. היה ברור שיהיו ביציות נוספות, והצדדים לא העלו על דעתם את כריתת הרחם. כל קביעה אחרת היא חוכמה שבדיעבד.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36.</w:t>
      </w:r>
      <w:r>
        <w:rPr>
          <w:rFonts w:ascii="Arial" w:hAnsi="Arial"/>
          <w:noProof w:val="0"/>
          <w:rtl/>
        </w:rPr>
        <w:tab/>
        <w:t xml:space="preserve">ב"כ המשיבה טען בהשלמת הטיעון כי התצהיר לא הוסבר לצדדים לא ע"י פרופ' לויטס ולא ע"י עורך הדין, הצדדים התייחסו למסמך כלאחר יד והוא נחתם באופן פרוצדורלי לתהליך. המערער לא ביקש לזמן לעדות את עו"ד ברק מישלי שהחתים את הצדדים על התצהיר, והדבר אומר דרשני. </w:t>
      </w:r>
    </w:p>
    <w:p w:rsidR="006D7615" w:rsidRDefault="006D7615" w:rsidP="006D7615">
      <w:pPr>
        <w:spacing w:line="360" w:lineRule="auto"/>
        <w:ind w:left="720"/>
        <w:jc w:val="both"/>
        <w:rPr>
          <w:rFonts w:ascii="Arial" w:hAnsi="Arial"/>
          <w:noProof w:val="0"/>
          <w:rtl/>
        </w:rPr>
      </w:pPr>
      <w:r>
        <w:rPr>
          <w:rFonts w:ascii="Arial" w:hAnsi="Arial"/>
          <w:noProof w:val="0"/>
          <w:rtl/>
        </w:rPr>
        <w:t>ב"כ המשיבה הדגיש את העובדה כי המערער לא שיתף את המשיבה בלבטיו לגבי הקשר הזוגי. לו היה משתף אותה, היא הייתה יכולה לקבל החלטות אחרות, למשל לא להפרות את כל שלוש הביציות בזרעו של המערער, ואולי גם יכלה לעבור סבב נוסף של טיפול פוריות ושאיבת ביציות, לפני כריתת הרחם. נטען כי המשיבה לא חזרה לתהליך שאיבת ביציות כי המערער לא נתן לה סיבה לחשוב שהוא חוזר בו מהרצון שלו לאפשר לה להביא ילד לעולם מאותם עוברים מוקפאים. היא סמכה על המצגים שלו בפניה, במחויבות, לאורך הדרך. הוא השלה אותה שהוא איתה, ונפרד ממנה רק לאחר שעברה כריתת רחם. לו היה נוהג בתום לב ומשתף את המשיבה בלבטיו, הייתה לה הזדמנות נוספת לנסות ולממש הורות בסבב טיפולים נוסף.</w:t>
      </w: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b/>
          <w:bCs/>
          <w:noProof w:val="0"/>
          <w:u w:val="single"/>
          <w:rtl/>
        </w:rPr>
      </w:pPr>
      <w:r>
        <w:rPr>
          <w:rFonts w:ascii="Arial" w:hAnsi="Arial"/>
          <w:b/>
          <w:bCs/>
          <w:noProof w:val="0"/>
          <w:u w:val="single"/>
          <w:rtl/>
        </w:rPr>
        <w:t>דיון והכרעה</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37.</w:t>
      </w:r>
      <w:r>
        <w:rPr>
          <w:rFonts w:ascii="Arial" w:hAnsi="Arial"/>
          <w:noProof w:val="0"/>
          <w:rtl/>
        </w:rPr>
        <w:tab/>
        <w:t xml:space="preserve">בחנתי בעיון את טיעוני הצדדים, הראיות שנפרשו ופסק דינו המקיף של בית המשפט קמא. בחינת הדברים מובילה לטעמי למסקנה כי יש לקבל את הערעור, וכך אציע לחבריי.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38.</w:t>
      </w:r>
      <w:r>
        <w:rPr>
          <w:rFonts w:ascii="Arial" w:hAnsi="Arial"/>
          <w:noProof w:val="0"/>
          <w:rtl/>
        </w:rPr>
        <w:tab/>
        <w:t xml:space="preserve">בטרם אדרש לסוגיות המשפטיות של פרשנות ההסכם המיוחד וקיומה של השתק הבטחה, ראוי לעמוד בדייקנות על המסכת העובדתית, שהתחדדה בעקבות עדותו של פרופ' לויטס.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lastRenderedPageBreak/>
        <w:tab/>
        <w:t xml:space="preserve">לאחר שהמשיבה עברה כריתה של השחלה השמאלית, ומשהתברר כי הגידול פרוץ ומפושט והשתרש על הרחם ועל הדופן השמאלית, הומלץ לה לעבור תהליך של שימור פוריות לפני שתעבור טיפולים כימותרפיים אגרסיביים. המערער, שהיה בן זוגה באותם ימים, נטל חלק בתהליך שימור הפוריות. התהליך התנהל במהירות כתהליך חירום.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המערער והמשיבה קיימו פגישת ייעוץ עם פרופ' לויטס ביום 12.11.2015. </w:t>
      </w:r>
    </w:p>
    <w:p w:rsidR="006D7615" w:rsidRDefault="006D7615" w:rsidP="006D7615">
      <w:pPr>
        <w:spacing w:line="360" w:lineRule="auto"/>
        <w:ind w:left="720"/>
        <w:jc w:val="both"/>
        <w:rPr>
          <w:rFonts w:ascii="Arial" w:hAnsi="Arial"/>
          <w:noProof w:val="0"/>
          <w:rtl/>
        </w:rPr>
      </w:pPr>
      <w:r>
        <w:rPr>
          <w:rFonts w:ascii="Arial" w:hAnsi="Arial"/>
          <w:noProof w:val="0"/>
          <w:rtl/>
        </w:rPr>
        <w:t>במהלך הפגישה פרופ' לויטס הסביר להם אודות התהליך של שימור פוריות, ועל שתי האופציות האפשריות: האחת להקפיא ביציות, והשנייה להקפיא ביציות מופרות בזרעו של המערער (עוברים). נאמר להם כי מומלץ להקפיא מחצית הביציות בלא הפריה ומחצית הביציות כשהן מפורות, והכל על פי כמות הזקיקים שתתקבל לאחר שהמשיבה תקבל זריקות של הורמונים להגברת ייצור הזקיקים (סעיף 11 לתצהיר המשיבה).</w:t>
      </w:r>
    </w:p>
    <w:p w:rsidR="006D7615" w:rsidRDefault="006D7615" w:rsidP="006D7615">
      <w:pPr>
        <w:spacing w:line="360" w:lineRule="auto"/>
        <w:ind w:left="720"/>
        <w:jc w:val="both"/>
        <w:rPr>
          <w:rFonts w:ascii="Arial" w:hAnsi="Arial"/>
          <w:noProof w:val="0"/>
          <w:rtl/>
        </w:rPr>
      </w:pPr>
      <w:r>
        <w:rPr>
          <w:rFonts w:ascii="Arial" w:hAnsi="Arial"/>
          <w:noProof w:val="0"/>
          <w:rtl/>
        </w:rPr>
        <w:t>כפי שהעידה המשיבה "</w:t>
      </w:r>
      <w:r>
        <w:rPr>
          <w:rFonts w:ascii="Arial" w:hAnsi="Arial"/>
          <w:b/>
          <w:bCs/>
          <w:noProof w:val="0"/>
          <w:rtl/>
        </w:rPr>
        <w:t>ההמלצה הייתה לשנינו, כי שנינו היינו אצל הרופא, אני וא' ביחד וכן, נאמר לי שיש שתי אופציות, אחת להשאיר עוברים, לעשות ביציות קפואות והשני להפרות אותן וזה תלוי בכמות הזקיקים שמוציאים אחרי השאיבה. בגלל שסטטיסטית יש יותר אפשרות שמעוברים מוקפאים יתפתח הריון תקין</w:t>
      </w:r>
      <w:r>
        <w:rPr>
          <w:rFonts w:ascii="Arial" w:hAnsi="Arial"/>
          <w:noProof w:val="0"/>
          <w:rtl/>
        </w:rPr>
        <w:t xml:space="preserve">" (עמ' 21 לפרוט' מיום 30.1.2022 שר' 29-26).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בפגישה הוסבר לבני הזוג כי מבחינה רפואית, מבחינת הצלחה יש יתרון בהקפאת עוברים על פני הקפאת ביציות, כי היכולת של עובר לשרוד הקפאה והפשרה טובה יותר. יש להניח שהצדדים קיבלו מפרופ' לויטס הסבר (קצר) כפי שהוא נוהג לתת, כי לגבי ביציות מופרות (עוברים) נדרשת הסכמה של שני הצדדים בכל שלב של התהליך, לרבות שלב ההחזרה לרחם.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jc w:val="both"/>
        <w:rPr>
          <w:rFonts w:ascii="Arial" w:hAnsi="Arial"/>
          <w:noProof w:val="0"/>
        </w:rPr>
      </w:pPr>
      <w:r>
        <w:rPr>
          <w:rFonts w:ascii="Arial" w:hAnsi="Arial"/>
          <w:noProof w:val="0"/>
          <w:rtl/>
        </w:rPr>
        <w:t xml:space="preserve">בפגישה מסר פרופ' לויטס לבני הזוג את "התצהיר" עליו הם צריכים לחתום בפני עורך דין, תצהיר המסדיר את ההיבטים המשפטיים של תהליך שימור הפוריות. </w:t>
      </w:r>
    </w:p>
    <w:p w:rsidR="006D7615" w:rsidRDefault="006D7615" w:rsidP="006D7615">
      <w:pPr>
        <w:spacing w:line="360" w:lineRule="auto"/>
        <w:ind w:firstLine="720"/>
        <w:jc w:val="both"/>
        <w:rPr>
          <w:rFonts w:ascii="Arial" w:hAnsi="Arial"/>
          <w:noProof w:val="0"/>
          <w:rtl/>
        </w:rPr>
      </w:pPr>
    </w:p>
    <w:p w:rsidR="006D7615" w:rsidRDefault="006D7615" w:rsidP="006D7615">
      <w:pPr>
        <w:spacing w:line="360" w:lineRule="auto"/>
        <w:ind w:firstLine="720"/>
        <w:jc w:val="both"/>
        <w:rPr>
          <w:rFonts w:ascii="Arial" w:hAnsi="Arial"/>
          <w:noProof w:val="0"/>
          <w:rtl/>
        </w:rPr>
      </w:pPr>
      <w:r>
        <w:rPr>
          <w:rFonts w:ascii="Arial" w:hAnsi="Arial"/>
          <w:noProof w:val="0"/>
          <w:rtl/>
        </w:rPr>
        <w:t xml:space="preserve">בסמוך לכך החלה המשיבה בטיפול הורמונלי לצורך שאיבת ביציות.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בני הזוג קיבלו קופסא, נאמר להם שהם צריכים להביא בקופסא זרע ביום שהמשיבה עוברת שאיבת ביציות (עמ' 28 לעדות המשיבה). </w:t>
      </w:r>
    </w:p>
    <w:p w:rsidR="006D7615" w:rsidRDefault="006D7615" w:rsidP="006D7615">
      <w:pPr>
        <w:spacing w:line="360" w:lineRule="auto"/>
        <w:ind w:firstLine="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39.</w:t>
      </w:r>
      <w:r>
        <w:rPr>
          <w:rFonts w:ascii="Arial" w:hAnsi="Arial"/>
          <w:noProof w:val="0"/>
          <w:rtl/>
        </w:rPr>
        <w:tab/>
        <w:t>ביום 23.11.2015 בוצע ביחידה לפוריות הליך של שאיבת ביציות מגופה של המשיבה. במקביל המערער מסר ליחידה זרע לצורך הפריית ביציות. בתום מהלך השאיבה, התברר כי הופקו שלוש ביציות תקינות. הוחלט בהמלצת הרופאים להפרות את שלוש הביציות לעוברים מזרעו של המערער. ביום 25.11.2015 הוקפאו שלוש הביציות המופרות (עוברים).</w:t>
      </w:r>
    </w:p>
    <w:p w:rsidR="006D7615" w:rsidRDefault="006D7615" w:rsidP="006D7615">
      <w:pPr>
        <w:spacing w:line="360" w:lineRule="auto"/>
        <w:ind w:left="720"/>
        <w:jc w:val="both"/>
        <w:rPr>
          <w:rFonts w:ascii="Arial" w:hAnsi="Arial"/>
          <w:noProof w:val="0"/>
        </w:rPr>
      </w:pPr>
      <w:r>
        <w:rPr>
          <w:rFonts w:ascii="Arial" w:hAnsi="Arial"/>
          <w:noProof w:val="0"/>
          <w:rtl/>
        </w:rPr>
        <w:lastRenderedPageBreak/>
        <w:t xml:space="preserve">בסמוך לאחר שאיבת הביציות החלה המשיבה בסבב נוסף לקראת שאיבת ביציות נוספת. מכאן שבשלב בו הופרו שלוש הביציות לא היה ידוע לבני הזוג ולרופאים כי התהליך ייגדע ולא ניתן יהיה לשאוב ביציות נוספות. בחלוף מספר ימים הורו הרופאים האונקולוגיים המטפלים במשיבה להפסיק את תהליך שימור הפוריות ובתחילת דצמבר 2015 המשיבה החלה בטיפולים כימותרפיים. כעבור כמה חודשים היא נאלצה לעבור כריתת רחם.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40.</w:t>
      </w:r>
      <w:r>
        <w:rPr>
          <w:rFonts w:ascii="Arial" w:hAnsi="Arial"/>
          <w:noProof w:val="0"/>
          <w:rtl/>
        </w:rPr>
        <w:tab/>
        <w:t xml:space="preserve">העולה מן האמור הוא כי בשלב בו חתמו בני הזוג על "התצהיר" ביום 17.11.2015 בו הסכים המערער להפריית הביציות בזרעו המשיבה הייתה בעיצומו של סבב הטיפולים הראשון, לפני שאיבת הביציות, כאשר ההמלצה שעמדה לנגד עיני הצדדים, אותה קיבלו מפרופ' לויטס, הייתה לשמר מחצית מהביציות ולהפרות בזרעו רק מחצית מהביציות. השלב הבא, בו נתן המערער את זרעו ובוצעה הלכה למעשה הפרייה של הביציות מזרעו, התרחש ביום 23.11.2015. בשלב זה הסתיים סבב הטיפולים הראשון של המשיבה, נשאבו מגופה 3 זקיקים, והיא עמדה להתחיל סבב טיפולים נוסף בתקווה לשאיבת ביציות נוספות. לכן באותה עת (23.11.2015) לא היה ברור, לא למערער ולא למשיבה, כי האפשרות היחידה שתעמוד למשיבה לממש הורות היא באמצעות העוברים שנוצרו מזרעו של המערער. </w:t>
      </w:r>
    </w:p>
    <w:p w:rsidR="006D7615" w:rsidRDefault="006D7615" w:rsidP="006D7615">
      <w:pPr>
        <w:spacing w:line="360" w:lineRule="auto"/>
        <w:ind w:left="720"/>
        <w:jc w:val="both"/>
        <w:rPr>
          <w:rFonts w:ascii="Arial" w:hAnsi="Arial"/>
          <w:noProof w:val="0"/>
          <w:rtl/>
        </w:rPr>
      </w:pPr>
      <w:r>
        <w:rPr>
          <w:rFonts w:ascii="Arial" w:hAnsi="Arial"/>
          <w:noProof w:val="0"/>
          <w:rtl/>
        </w:rPr>
        <w:t>בשונה מקביעת בית המשפט קמא, פרופ' לויטס לא הסביר לבני הזוג כי הצורך להפרות את הביציות ולא להקפיאן כביציות לא מופרות, נעוץ בכך שהמשיבה לא תוכל לבצע טיפולי פוריות נוספים בשל התגובה הקשה שלה לטיפולים ההורמונליים.</w:t>
      </w:r>
    </w:p>
    <w:p w:rsidR="006D7615" w:rsidRDefault="006D7615" w:rsidP="006D7615">
      <w:pPr>
        <w:spacing w:line="360" w:lineRule="auto"/>
        <w:ind w:left="720"/>
        <w:jc w:val="both"/>
        <w:rPr>
          <w:rFonts w:ascii="Arial" w:hAnsi="Arial"/>
          <w:noProof w:val="0"/>
          <w:rtl/>
        </w:rPr>
      </w:pPr>
      <w:r>
        <w:rPr>
          <w:rFonts w:ascii="Arial" w:hAnsi="Arial"/>
          <w:noProof w:val="0"/>
          <w:rtl/>
        </w:rPr>
        <w:t>רק לאחר שבוצעה ההפריה והוקפאו שלושת העוברים הורו רופאיה של המשיבה להפסיק את סבב הטיפולים השני, בגלל החמרה במחלה האונקולוגית והסכנה לבריאות המשיבה.</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Pr>
      </w:pPr>
      <w:r>
        <w:rPr>
          <w:rFonts w:ascii="Arial" w:hAnsi="Arial"/>
          <w:noProof w:val="0"/>
          <w:rtl/>
        </w:rPr>
        <w:t>41.</w:t>
      </w:r>
      <w:r>
        <w:rPr>
          <w:rFonts w:ascii="Arial" w:hAnsi="Arial"/>
          <w:noProof w:val="0"/>
          <w:rtl/>
        </w:rPr>
        <w:tab/>
        <w:t>המשיבה לא טענה כי סברה שתוכל לעשות שימוש בעוברים המוקפאים ללא הסכמת המערער. ואמנם, ימים ספורים לאחר שהמערער סיים את הקשר הזוגי, היא יצרה עימו קשר וביקשה שיחתום על מסמך הסכמה לשימוש שלה בעוברים, אך המערער לא נעתר לבקשה. בשיחה בין השניים ביום 11.10.202 אמרה המשיבה למערער "</w:t>
      </w:r>
      <w:r>
        <w:rPr>
          <w:rFonts w:ascii="Arial" w:hAnsi="Arial"/>
          <w:b/>
          <w:bCs/>
          <w:noProof w:val="0"/>
          <w:rtl/>
        </w:rPr>
        <w:t>אתה יודע יפה מאוד, חתמנו גם על מסמך, זה משהו שצריך את האישור של שנינו</w:t>
      </w:r>
      <w:r>
        <w:rPr>
          <w:rFonts w:ascii="Arial" w:hAnsi="Arial"/>
          <w:noProof w:val="0"/>
          <w:rtl/>
        </w:rPr>
        <w:t xml:space="preserve">".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42.</w:t>
      </w:r>
      <w:r>
        <w:rPr>
          <w:rFonts w:ascii="Arial" w:hAnsi="Arial"/>
          <w:noProof w:val="0"/>
          <w:rtl/>
        </w:rPr>
        <w:tab/>
        <w:t xml:space="preserve">התפיסה של שני בני הזוג, כי תידרש הסכמה של כל אחד מהם לכל שלב בתהליך, עד שלב ההחזרה של העוברים לרחם, עולה בקנה אחד עם הוראות "ההסכם המיוחד". ההוראות אמנם מנוסחות בצורה מסורבלת, בחלקן "על דרך השלילה" אך קשה לפרשן בדרך שאינה מובילה למסקנה כי כל עוד שני בני הזוג בחיים ולא נעלמו, כל אחד מהם צריך להסכים לכל שלב בתהליך, לרבות החזרת העוברים, ונקודת האל-חזור היא קליטת הריון. </w:t>
      </w:r>
    </w:p>
    <w:p w:rsidR="006D7615" w:rsidRDefault="006D7615" w:rsidP="006D7615">
      <w:pPr>
        <w:spacing w:line="360" w:lineRule="auto"/>
        <w:ind w:left="720" w:hanging="720"/>
        <w:jc w:val="both"/>
        <w:rPr>
          <w:rFonts w:ascii="Arial" w:hAnsi="Arial"/>
          <w:b/>
          <w:bCs/>
          <w:noProof w:val="0"/>
          <w:rtl/>
        </w:rPr>
      </w:pPr>
      <w:r>
        <w:rPr>
          <w:rFonts w:ascii="Arial" w:hAnsi="Arial"/>
          <w:noProof w:val="0"/>
          <w:rtl/>
        </w:rPr>
        <w:lastRenderedPageBreak/>
        <w:tab/>
        <w:t xml:space="preserve">בסעיף 4 ל"הסכם המיוחד" הצהירו הצדדים כי </w:t>
      </w:r>
      <w:r>
        <w:rPr>
          <w:rFonts w:ascii="Arial" w:hAnsi="Arial"/>
          <w:b/>
          <w:bCs/>
          <w:noProof w:val="0"/>
          <w:rtl/>
        </w:rPr>
        <w:t xml:space="preserve">"ידוע לנו שלאחר הצלחת ההפריה והחדרת העוברים שיווצרו לרחמה של האישה, לא ניתן יהא לבטל הסכם זה ו/או לסגת ממנו באורח חד צדדי ע"י אחד מאתנו, על כל החובות ההדדיות והחוקיות הנובעות ממנו". </w:t>
      </w:r>
    </w:p>
    <w:p w:rsidR="006D7615" w:rsidRDefault="006D7615" w:rsidP="006D7615">
      <w:pPr>
        <w:spacing w:line="360" w:lineRule="auto"/>
        <w:ind w:left="720" w:hanging="720"/>
        <w:jc w:val="both"/>
        <w:rPr>
          <w:rFonts w:ascii="Arial" w:hAnsi="Arial"/>
          <w:b/>
          <w:bCs/>
          <w:noProof w:val="0"/>
          <w:rtl/>
        </w:rPr>
      </w:pPr>
      <w:r>
        <w:rPr>
          <w:rFonts w:ascii="Arial" w:hAnsi="Arial"/>
          <w:b/>
          <w:bCs/>
          <w:noProof w:val="0"/>
          <w:rtl/>
        </w:rPr>
        <w:tab/>
      </w:r>
      <w:r>
        <w:rPr>
          <w:rFonts w:ascii="Arial" w:hAnsi="Arial"/>
          <w:noProof w:val="0"/>
          <w:rtl/>
        </w:rPr>
        <w:t xml:space="preserve">בסעיף 7 ל"הסכם המיוחד" הצהירו הצדדים כי </w:t>
      </w:r>
      <w:r>
        <w:rPr>
          <w:rFonts w:ascii="Arial" w:hAnsi="Arial"/>
          <w:b/>
          <w:bCs/>
          <w:noProof w:val="0"/>
          <w:rtl/>
        </w:rPr>
        <w:t>"במקרה של העלמות ו/או פטירה של מי מאיתנו, עוד טרם קליטת העוברים שיווצרו מההפריה ברחם האישה, רשאי יהא הצד הנותר לבחור בדרך הטיפול בחומר גנטי שניתן ע"י הצדדים לצורך ההפריה, זאת לאחר הצגת אישור משפטי בדבר העלמות ו/או פטירה של הצד הני ובכפוף להוראות כל דין החל על הנושא במדינת ישראל</w:t>
      </w:r>
      <w:r>
        <w:rPr>
          <w:rFonts w:ascii="Arial" w:hAnsi="Arial"/>
          <w:noProof w:val="0"/>
          <w:rtl/>
        </w:rPr>
        <w:t>".</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הגם שמדובר בניסוח מסורבל, ובוודאי לא מיטבי (כפי שהיה מצופה ממסמך חשוב ורגיש מאין כמותו), הרי שמהוראות אלה ב"הסכם המיוחד" עולה בבירור כי עד להחזרת העוברים לרחמה של האישה ניתן לבטל את ההסכם או לסגת ממנו באורח חד צדדי (סעיף 4). עד לשלב ההחזרה, רק במקרה של העלמות או פטירה של מי מהצדדים יוכל הצד הנותר לבחור על דעת עצמו כיצד לטפל בחומר הגנטי, בכפוף להוראות כל דין (סעיף 7).  </w:t>
      </w:r>
    </w:p>
    <w:p w:rsidR="006D7615" w:rsidRDefault="006D7615" w:rsidP="006D7615">
      <w:pPr>
        <w:spacing w:line="360" w:lineRule="auto"/>
        <w:ind w:left="720" w:hanging="720"/>
        <w:jc w:val="both"/>
        <w:rPr>
          <w:rFonts w:ascii="Arial" w:hAnsi="Arial"/>
          <w:noProof w:val="0"/>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המשיבה גם לא טענה כי הייתה בוחנת אפשרות לעשות שימוש בתרומת זרע אנונימית לו ידעה על לבטיו של המערער. כאמור, מדובר היה בשימור פוריות חירום. לא נטען וממילא לא הוכח כי עמד לרשות המשיבה הזמן הדרוש לצורך קבלת תרומה אנונימית מבנק הזרע, לא בעת התחלת התהליך ב- 12.11.2015 ובוודאי שלא לאחר שהתברר שיש רק 3 ביציות, שהרי ההפרייה חייבת להיעשות מיד לאחר שאיבת הביציות. </w:t>
      </w:r>
    </w:p>
    <w:p w:rsidR="006D7615" w:rsidRDefault="006D7615" w:rsidP="006D7615">
      <w:pPr>
        <w:spacing w:line="360" w:lineRule="auto"/>
        <w:ind w:left="720"/>
        <w:jc w:val="both"/>
        <w:rPr>
          <w:rFonts w:ascii="Arial" w:hAnsi="Arial"/>
          <w:b/>
          <w:bCs/>
          <w:noProof w:val="0"/>
          <w:rtl/>
        </w:rPr>
      </w:pPr>
      <w:r>
        <w:rPr>
          <w:rFonts w:ascii="Arial" w:hAnsi="Arial"/>
          <w:noProof w:val="0"/>
          <w:rtl/>
        </w:rPr>
        <w:t xml:space="preserve">כשנשאל ד"ר לויטס לגבי הפריית עוברים מזרע של תורם, הוא הסביר כי </w:t>
      </w:r>
      <w:r>
        <w:rPr>
          <w:rFonts w:ascii="Arial" w:hAnsi="Arial"/>
          <w:b/>
          <w:bCs/>
          <w:noProof w:val="0"/>
          <w:rtl/>
        </w:rPr>
        <w:t>"צריך לעבור תהליך בתוך בנק זרע שהוא תהליך ארוך של התאמה, של רישום התאמה, טפסים רבים שיש לחתום עליהם, זה סיפור אחר</w:t>
      </w:r>
      <w:r>
        <w:rPr>
          <w:rFonts w:ascii="Arial" w:hAnsi="Arial"/>
          <w:noProof w:val="0"/>
          <w:rtl/>
        </w:rPr>
        <w:t>" (עמ' 8 ש' 33-34 לפרוט' מיום 30.10.2024)</w:t>
      </w:r>
      <w:r>
        <w:rPr>
          <w:rFonts w:ascii="Arial" w:hAnsi="Arial"/>
          <w:b/>
          <w:bCs/>
          <w:noProof w:val="0"/>
          <w:rtl/>
        </w:rPr>
        <w:t xml:space="preserve">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43.</w:t>
      </w:r>
      <w:r>
        <w:rPr>
          <w:rFonts w:ascii="Arial" w:hAnsi="Arial"/>
          <w:noProof w:val="0"/>
          <w:rtl/>
        </w:rPr>
        <w:tab/>
        <w:t xml:space="preserve">נמצא כי בהתאם להסכם המיוחד, ואומד הדעת של הצדדים בעת ביצוע הליך ההפריה, המשך התהליך היה מותנה בהסכמה לכל שלב של התהליך ובכלל זה שלב ההחזרה לרחם (בין אם רחמה של המשיבה ובין אם רחם של אם נושאת). </w:t>
      </w:r>
    </w:p>
    <w:p w:rsidR="006D7615" w:rsidRDefault="006D7615" w:rsidP="006D7615">
      <w:pPr>
        <w:spacing w:line="360" w:lineRule="auto"/>
        <w:jc w:val="both"/>
        <w:rPr>
          <w:rFonts w:ascii="Arial" w:hAnsi="Arial"/>
          <w:noProof w:val="0"/>
          <w:rtl/>
        </w:rPr>
      </w:pPr>
      <w:r>
        <w:rPr>
          <w:rFonts w:ascii="Arial" w:hAnsi="Arial"/>
          <w:noProof w:val="0"/>
          <w:rtl/>
        </w:rPr>
        <w:tab/>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בשונה מבית המשפט קמא, אינני סבורה כי המערער הסכים לכך שהמשיבה תוכל לעשות שימוש בעוברים המוקפאים מבלי לקבל את הסכמתו, כמתחייב על פי ההסכם המחויב, על פי הדין ועל פי הפרקטיקה הנוהגת עליה העיד פרופ' לויטס.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הדבר מהווה מכשול של ממש בפני המשיבה, במנותק משאלת הפונדקאות.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44.</w:t>
      </w:r>
      <w:r>
        <w:rPr>
          <w:rFonts w:ascii="Arial" w:hAnsi="Arial"/>
          <w:noProof w:val="0"/>
          <w:rtl/>
        </w:rPr>
        <w:tab/>
        <w:t xml:space="preserve">המשיבה לא טענה כלפי המערער כי נתן לה הסכמה בלתי חוזרת לעשות שימוש בעוברים המוקפאים (חרף הוראות ההסכם). היא לא טענה להסכמה פוזיטיבית של המערער כי תוכל לעשות שימוש בעוברים, גם אם לא יקימו יחד משפחה. לכל היותר הטענה של המשיבה  היא כי המערער הרגיע אותה כשהתבשרה שתיאלץ לעבור כריתת רחם, כי "יש להם את העוברים" וגם זה שנוי במחלוקת ומכל מקום הדבר לא התרחש בעת הפריית הביציות.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jc w:val="both"/>
        <w:rPr>
          <w:rFonts w:ascii="Arial" w:hAnsi="Arial"/>
          <w:noProof w:val="0"/>
          <w:rtl/>
        </w:rPr>
      </w:pPr>
      <w:r>
        <w:rPr>
          <w:rFonts w:ascii="Arial" w:hAnsi="Arial"/>
          <w:noProof w:val="0"/>
          <w:rtl/>
        </w:rPr>
        <w:t xml:space="preserve">טענתה המרכזית של המשיבה כלפי המערער היא על כך שלא שיתף אותה בלבטיו אודות עתיד הזוגיות, ובכך יצר מצג כי הוא רואה עתיד משותף של זוגיות והקמת משפחה, תוך שימוש בעוברים המוקפאים, מצג עליו היא הסתמכה בעת הפריית הביציות ובהמשך, עובר לכריתת הרחם, כאשר לא ניסתה פעם נוספת לשאוב ביציות.   </w:t>
      </w:r>
    </w:p>
    <w:p w:rsidR="006D7615" w:rsidRDefault="006D7615" w:rsidP="006D7615">
      <w:pPr>
        <w:spacing w:line="360" w:lineRule="auto"/>
        <w:jc w:val="both"/>
        <w:rPr>
          <w:rFonts w:ascii="Arial" w:hAnsi="Arial"/>
          <w:noProof w:val="0"/>
          <w:rtl/>
        </w:rPr>
      </w:pPr>
      <w:r>
        <w:rPr>
          <w:rFonts w:ascii="Arial" w:hAnsi="Arial"/>
          <w:noProof w:val="0"/>
          <w:rtl/>
        </w:rPr>
        <w:tab/>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אכן, אין מחלוקת על כך שהמערער לא שיתף את המשיבה בלבטיו ובתחושותיו בנוגע לעתיד הזוגיות ובנוגע לתהליך שימור הפוריות, החל משלב ההפריה של הביציות ועד לפרידה שבאה מיוזמתו. </w:t>
      </w:r>
    </w:p>
    <w:p w:rsidR="006D7615" w:rsidRDefault="006D7615" w:rsidP="006D7615">
      <w:pPr>
        <w:spacing w:line="360" w:lineRule="auto"/>
        <w:jc w:val="both"/>
        <w:rPr>
          <w:rFonts w:ascii="Arial" w:hAnsi="Arial"/>
          <w:noProof w:val="0"/>
          <w:rtl/>
        </w:rPr>
      </w:pPr>
      <w:r>
        <w:rPr>
          <w:rFonts w:ascii="Arial" w:hAnsi="Arial"/>
          <w:noProof w:val="0"/>
          <w:rtl/>
        </w:rPr>
        <w:tab/>
        <w:t>בתצהיר כתב המערער:</w:t>
      </w:r>
    </w:p>
    <w:p w:rsidR="006D7615" w:rsidRDefault="006D7615" w:rsidP="006D7615">
      <w:pPr>
        <w:spacing w:line="360" w:lineRule="auto"/>
        <w:ind w:left="1219" w:right="567"/>
        <w:jc w:val="both"/>
        <w:rPr>
          <w:rFonts w:ascii="Arial" w:hAnsi="Arial"/>
          <w:noProof w:val="0"/>
          <w:rtl/>
        </w:rPr>
      </w:pPr>
      <w:r>
        <w:rPr>
          <w:rFonts w:ascii="Arial" w:hAnsi="Arial"/>
          <w:noProof w:val="0"/>
          <w:rtl/>
        </w:rPr>
        <w:t>"</w:t>
      </w:r>
      <w:r>
        <w:rPr>
          <w:rFonts w:ascii="Arial" w:hAnsi="Arial"/>
          <w:b/>
          <w:bCs/>
          <w:noProof w:val="0"/>
          <w:rtl/>
        </w:rPr>
        <w:t>---רגע שאיבת הזרע שלי על ידי ח' היה הרגע בו התערערו יחסי הזוגיות ביננו. אני חשתי מובך, מושפל, ומנוצל. בעיני רוחי ראיתי את עצמי אסוציאטיבית באותם הרגעים הלא נעימים כפרה שחולבים אותה ביד גסה. איך יוצאים מזה עכשיו? שאלתי את עצמי. בתחושותיי הקשות שיתפתי עוד באותו היום את אמי. היא הרגיעה אותי ואותה בכך שללא הסכמתי ממילא לא תוכל ח' לעשות שימוש בביציות המופרות בזרעי, כך שיש לי עדיין אפשרות להתחרט על הסכמתי הנמהרת להפרות ביציות של ח' בזרעי</w:t>
      </w:r>
      <w:r>
        <w:rPr>
          <w:rFonts w:ascii="Arial" w:hAnsi="Arial"/>
          <w:noProof w:val="0"/>
          <w:rtl/>
        </w:rPr>
        <w:t xml:space="preserve">" (סעיף 16 לתצהיר). </w:t>
      </w:r>
    </w:p>
    <w:p w:rsidR="006D7615" w:rsidRDefault="006D7615" w:rsidP="006D7615">
      <w:pPr>
        <w:spacing w:line="360" w:lineRule="auto"/>
        <w:ind w:left="1219" w:right="567"/>
        <w:jc w:val="both"/>
        <w:rPr>
          <w:rFonts w:ascii="Arial" w:hAnsi="Arial"/>
          <w:noProof w:val="0"/>
          <w:rtl/>
        </w:rPr>
      </w:pPr>
      <w:r>
        <w:rPr>
          <w:rFonts w:ascii="Arial" w:hAnsi="Arial"/>
          <w:noProof w:val="0"/>
          <w:rtl/>
        </w:rPr>
        <w:t>"</w:t>
      </w:r>
      <w:r>
        <w:rPr>
          <w:rFonts w:ascii="Arial" w:hAnsi="Arial"/>
          <w:b/>
          <w:bCs/>
          <w:noProof w:val="0"/>
          <w:rtl/>
        </w:rPr>
        <w:t>היחסים ביני לבין ח' הלכו והתקררו מעת הפריית הביציות. אינני מאשים חלילה את ח'. היא היתה רובה ככולה שקועה בענייניה הבריאותיים.. היו אלה ימים קשים לח'. כפועל יוצא הלכנו והתרחקנו, אני רק חיפשתי את הרגע המתאים לבשר לח' את החלטתי להביא לקץ את יחסינו. לכן כשהרהבתי עוז לעשות זאת, ח' לא הופתעה. היתה זו הקלה עבורי ועבורה</w:t>
      </w:r>
      <w:r>
        <w:rPr>
          <w:rFonts w:ascii="Arial" w:hAnsi="Arial"/>
          <w:noProof w:val="0"/>
          <w:rtl/>
        </w:rPr>
        <w:t>" (סעיף 17 לתצהיר)</w:t>
      </w:r>
    </w:p>
    <w:p w:rsidR="006D7615" w:rsidRDefault="006D7615" w:rsidP="006D7615">
      <w:pPr>
        <w:spacing w:line="360" w:lineRule="auto"/>
        <w:jc w:val="both"/>
        <w:rPr>
          <w:rFonts w:ascii="Arial" w:hAnsi="Arial"/>
          <w:b/>
          <w:bCs/>
          <w:noProof w:val="0"/>
          <w:u w:val="single"/>
          <w:rtl/>
        </w:rPr>
      </w:pPr>
    </w:p>
    <w:p w:rsidR="006D7615" w:rsidRDefault="006D7615" w:rsidP="006D7615">
      <w:pPr>
        <w:spacing w:line="360" w:lineRule="auto"/>
        <w:ind w:left="720" w:hanging="720"/>
        <w:jc w:val="both"/>
        <w:rPr>
          <w:rFonts w:ascii="Arial" w:hAnsi="Arial"/>
          <w:noProof w:val="0"/>
        </w:rPr>
      </w:pPr>
      <w:r>
        <w:rPr>
          <w:rFonts w:ascii="Arial" w:hAnsi="Arial"/>
          <w:noProof w:val="0"/>
          <w:rtl/>
        </w:rPr>
        <w:t>45.</w:t>
      </w:r>
      <w:r>
        <w:rPr>
          <w:rFonts w:ascii="Arial" w:hAnsi="Arial"/>
          <w:noProof w:val="0"/>
          <w:rtl/>
        </w:rPr>
        <w:tab/>
        <w:t xml:space="preserve">בעדותו בבית המשפט חזר המערער על כך שלא שיתף את המשיבה בלבטים שהיו לו ובתחושות הקשות שהיו לו מעת שנתן זרע, עובר להליך כריתת הרחם, אבל לדבריו היחסים </w:t>
      </w:r>
      <w:r>
        <w:rPr>
          <w:rFonts w:ascii="Arial" w:hAnsi="Arial"/>
          <w:noProof w:val="0"/>
          <w:rtl/>
        </w:rPr>
        <w:lastRenderedPageBreak/>
        <w:t xml:space="preserve">ביניהם התרחקו, הם לא נפגשו ולא דיברו, הדברים השתנו בצורה דרסטית (עמ' 32 לפרוט' מיום 31.1.2022, שר' 3 – 4 לפרוט'). הוא הסביר כי מתן הזרע נעשה במהירות, מבלי שיכול היה לחשוב על הדברים לעומק (עמ' 32, שר' 41 – 42). לדבריו, עשה זאת "במטרה שיהיה לנו את האופציה, אם וכאשר הזוגיות שלנו תמשיך ותתקיים" (עמ' 33, שר' 22 – 23). הוא הוסיף כי "בזמן הזה אני לא ידעתי שאני לא רוצה להמשיך לחיות איתה. אנחנו היינו עדיין זוג וניסינו להבין, לא לא עשינו... לא חיינו ביחד, לא עברנו לגור ביחד, לא פתחנו חשבון משותף, לא עשינו מהלכים משותפים, לא..." (עמ' 33, שר' 40 – 43).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46.</w:t>
      </w:r>
      <w:r>
        <w:rPr>
          <w:rFonts w:ascii="Arial" w:hAnsi="Arial"/>
          <w:noProof w:val="0"/>
          <w:rtl/>
        </w:rPr>
        <w:tab/>
        <w:t xml:space="preserve">השאלה המונחת לפתחנו היא איפוא האם במכלול הנסיבות, התנהגות זו של המערער עולה כדי "השתק הבטחה" שמהווה תחליף להסכמה פוזיטיבית של המערער לעשות שימוש בעוברים, חרף הוראות ההסכם המיוחד, הדין והפרקליטה הנוהגת? </w:t>
      </w:r>
    </w:p>
    <w:p w:rsidR="006D7615" w:rsidRDefault="006D7615" w:rsidP="006D7615">
      <w:pPr>
        <w:spacing w:line="360" w:lineRule="auto"/>
        <w:ind w:firstLine="720"/>
        <w:jc w:val="both"/>
        <w:rPr>
          <w:rFonts w:ascii="Arial" w:hAnsi="Arial"/>
          <w:noProof w:val="0"/>
          <w:rtl/>
        </w:rPr>
      </w:pPr>
      <w:r>
        <w:rPr>
          <w:rFonts w:ascii="Arial" w:hAnsi="Arial"/>
          <w:noProof w:val="0"/>
          <w:rtl/>
        </w:rPr>
        <w:t xml:space="preserve">לטעמי יש להשיב על כך בשלילה.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47.</w:t>
      </w:r>
      <w:r>
        <w:rPr>
          <w:rFonts w:ascii="Arial" w:hAnsi="Arial"/>
          <w:noProof w:val="0"/>
          <w:rtl/>
        </w:rPr>
        <w:tab/>
        <w:t xml:space="preserve">יסוד ההסכמה הוא יסוד מהותי, כבד משקל, בכל הקשור לשימוש בעוברים וליצירת ילדים מזרעו של המערער.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כפי שפורט, הדבר הוסדר ב"הסכם המיוחד", הוסבר לבני הזוג בפגישת הייעוץ והיה ברור לשניהם כי מתחייבת הסכמה הדדית לשימוש בעוברים המוקפאים.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המרכזיות של יסוד ההסכמה עולה גם מההסדרים הנורמטיביים הנוגעים בדבר - חוק הסכמים לנשיאת עוברים ותקנות בריאות העם (הפריה חוץ-גופית), התשמ"ז-1987.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David" w:hAnsi="David"/>
          <w:noProof w:val="0"/>
          <w:rtl/>
        </w:rPr>
      </w:pPr>
      <w:r>
        <w:rPr>
          <w:rFonts w:ascii="Arial" w:hAnsi="Arial"/>
          <w:noProof w:val="0"/>
          <w:rtl/>
        </w:rPr>
        <w:tab/>
        <w:t xml:space="preserve">אכן, כפיית מעמד הורות על בן זוג "סרבן" בטרם נקלט הריון ונוצרו חיים היא דבר מרחיק לכת. לא בכדי לאחר פרשת </w:t>
      </w:r>
      <w:r>
        <w:rPr>
          <w:rFonts w:ascii="Arial" w:hAnsi="Arial"/>
          <w:noProof w:val="0"/>
          <w:u w:val="single"/>
          <w:rtl/>
        </w:rPr>
        <w:t>נחמני</w:t>
      </w:r>
      <w:r>
        <w:rPr>
          <w:rFonts w:ascii="Arial" w:hAnsi="Arial"/>
          <w:noProof w:val="0"/>
          <w:rtl/>
        </w:rPr>
        <w:t xml:space="preserve"> (</w:t>
      </w:r>
      <w:r>
        <w:rPr>
          <w:rFonts w:ascii="David" w:hAnsi="David"/>
          <w:color w:val="000000"/>
          <w:rtl/>
        </w:rPr>
        <w:t xml:space="preserve">דנ"א 2401/95‏ </w:t>
      </w:r>
      <w:r>
        <w:rPr>
          <w:rFonts w:ascii="David" w:hAnsi="David"/>
          <w:color w:val="000000"/>
          <w:u w:val="single"/>
          <w:rtl/>
        </w:rPr>
        <w:t>נחמני נ' נחמני</w:t>
      </w:r>
      <w:r>
        <w:rPr>
          <w:rFonts w:ascii="David" w:hAnsi="David"/>
          <w:color w:val="000000"/>
          <w:rtl/>
        </w:rPr>
        <w:t xml:space="preserve">, פ"ד נ(4) 661) בה נדרשה הכרעה שיפוטית בסיטואציה אנושית דומה, קודמו הסדרים משפטיים שונים ובכלל זה החתמת בני זוג על "הסכם מיוחד" כפי שארע במקרה דנן.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הגם שקיים דמיון בדילמות החברתיות והמוסריות בין פרשת נחמני למקרה שלפנינו, ההסדרה המשפטית של יסוד ההסכמה היא ברורה ומפורשת, ולטעמי היא מובילה לשונות בתוצאה המשפטית. </w:t>
      </w:r>
    </w:p>
    <w:p w:rsidR="006D7615" w:rsidRDefault="006D7615" w:rsidP="006D7615">
      <w:pPr>
        <w:spacing w:line="360" w:lineRule="auto"/>
        <w:jc w:val="both"/>
        <w:rPr>
          <w:rFonts w:ascii="Arial" w:hAnsi="Arial"/>
          <w:noProof w:val="0"/>
          <w:rtl/>
        </w:rPr>
      </w:pPr>
      <w:r>
        <w:rPr>
          <w:rFonts w:ascii="Arial" w:hAnsi="Arial"/>
          <w:noProof w:val="0"/>
          <w:rtl/>
        </w:rPr>
        <w:tab/>
      </w:r>
    </w:p>
    <w:p w:rsidR="006D7615" w:rsidRDefault="006D7615" w:rsidP="006D7615">
      <w:pPr>
        <w:spacing w:line="360" w:lineRule="auto"/>
        <w:ind w:left="720" w:hanging="720"/>
        <w:jc w:val="both"/>
        <w:rPr>
          <w:rFonts w:ascii="Arial" w:hAnsi="Arial"/>
          <w:noProof w:val="0"/>
          <w:rtl/>
        </w:rPr>
      </w:pPr>
      <w:r>
        <w:rPr>
          <w:rFonts w:ascii="Arial" w:hAnsi="Arial"/>
          <w:noProof w:val="0"/>
          <w:rtl/>
        </w:rPr>
        <w:t>48.</w:t>
      </w:r>
      <w:r>
        <w:rPr>
          <w:rFonts w:ascii="Arial" w:hAnsi="Arial"/>
          <w:noProof w:val="0"/>
          <w:rtl/>
        </w:rPr>
        <w:tab/>
        <w:t xml:space="preserve">הסכם שפניו יצירת עוברים משותפים הוא ללא ספק "הסכם מיוחד", שונה בתכלית מהסכם מסחרי ולמעשה מכל הסכם אחר. הוא נוגע בנימים הרגישים ביותר של ההוויה האנושית, וכל מחלוקת לגביו כרוכה בסוגיות חברתיות, ערכיות ומוסריות כבדות משקל. הוא עוסק בזכויות הפרט המקודשות ביותר – הזכות להורות והזכות לאוטונומיה. </w:t>
      </w:r>
    </w:p>
    <w:p w:rsidR="006D7615" w:rsidRDefault="006D7615" w:rsidP="006D7615">
      <w:pPr>
        <w:spacing w:line="360" w:lineRule="auto"/>
        <w:ind w:left="720"/>
        <w:jc w:val="both"/>
        <w:rPr>
          <w:rFonts w:ascii="Arial" w:hAnsi="Arial"/>
          <w:noProof w:val="0"/>
          <w:rtl/>
        </w:rPr>
      </w:pPr>
      <w:r>
        <w:rPr>
          <w:rFonts w:ascii="Arial" w:hAnsi="Arial"/>
          <w:noProof w:val="0"/>
          <w:rtl/>
        </w:rPr>
        <w:lastRenderedPageBreak/>
        <w:t xml:space="preserve">דווקא בשל כך, מתחייבת לטעמי הקפדה יתרה בהיצמדות להסדרים, להגבלות ולהסכמות שקיבלו על עצמם הצדדים ב"הסכם המיוחד" ויש להיזהר מיצירת תחליפים בדמות השתק או מניעות.   </w:t>
      </w:r>
    </w:p>
    <w:p w:rsidR="006D7615" w:rsidRDefault="006D7615" w:rsidP="006D7615">
      <w:pPr>
        <w:spacing w:line="360" w:lineRule="auto"/>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49.</w:t>
      </w:r>
      <w:r>
        <w:rPr>
          <w:rFonts w:ascii="Arial" w:hAnsi="Arial"/>
          <w:noProof w:val="0"/>
          <w:rtl/>
        </w:rPr>
        <w:tab/>
        <w:t xml:space="preserve">במקרה שלפנינו, המשיבה כאמור אינה טוענת להסכמה בעל פה או הסכמה משתמעת של המערער כי המשיבה תוכל בעתיד לעשות שימוש בעוברים ללא שיתופו וללא קבלת הסכמתו בשלב ההחזרה.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היא קובלת על כך שלא שיתף אותה בלבטיו אודות עתיד הזוגיות והשימוש בעוברים.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בשל מהות ההסכמה הנדרשת ובהינתן הנסיבות הפרטניות של המקרה, איני סבורה שניתן לסטות מההסדר המשפטי שהצדדים קיבלו על עצמם.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50.</w:t>
      </w:r>
      <w:r>
        <w:rPr>
          <w:rFonts w:ascii="Arial" w:hAnsi="Arial"/>
          <w:noProof w:val="0"/>
          <w:rtl/>
        </w:rPr>
        <w:tab/>
        <w:t xml:space="preserve">אשר לנסיבות הפרטניות, יש לזכור כי מדובר בבני זוג שהיו בקשר חברי במשך כשנתיים. הם לא מיסדו את הקשר הזוגי ולא תכננו לעת ההיא להביא ילדים לעולם. כרעם ביום בהיר, הם "נקלעו" להליך של שימור פוריות במצב חירום, בשל מחלתה של המשיבה. לא מדובר בבני זוג שגמלה בליבם החלטה להביא ילד משותף, הם ניסו להרות ופנו ליחידת הפוריות בגלל קשיי פוריות. במקרה שלפנינו התהפכו היוצרות, ובני הזוג מצאו עצמם בתהליך שימור פוריות במצב חירום, עוד בטרם מיסדו את הזוגיות, תוך כדי התמודדות עם מחלתה הקשה של המשיבה.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51.</w:t>
      </w:r>
      <w:r>
        <w:rPr>
          <w:rFonts w:ascii="Arial" w:hAnsi="Arial"/>
          <w:noProof w:val="0"/>
          <w:rtl/>
        </w:rPr>
        <w:tab/>
        <w:t xml:space="preserve">התהליך התבצע מהר מאוד, בשל הדחיפות לטפל במחלה האונקולוגית של המשיבה לאחר הסרת הגידול בשחלה והממצאים שעלו בניתוח. הכל התרחש במהירות, ותוך ימים ספורים נדרשו בני הזוג להחלטות אישיות הרות גורל, שלא נערכו אליהן. </w:t>
      </w:r>
    </w:p>
    <w:p w:rsidR="006D7615" w:rsidRDefault="006D7615" w:rsidP="006D7615">
      <w:pPr>
        <w:spacing w:line="360" w:lineRule="auto"/>
        <w:ind w:left="720"/>
        <w:jc w:val="both"/>
        <w:rPr>
          <w:rFonts w:ascii="Arial" w:hAnsi="Arial"/>
          <w:noProof w:val="0"/>
          <w:rtl/>
        </w:rPr>
      </w:pPr>
      <w:r>
        <w:rPr>
          <w:rFonts w:ascii="Arial" w:hAnsi="Arial"/>
          <w:noProof w:val="0"/>
          <w:rtl/>
        </w:rPr>
        <w:t>המערער קיבל על עצמו להיות שותף לתהליך שימור הפוריות, נתן זרע והסכים להפריית הביציות של המשיבה מזרעו. במהלך תקופה זו, התעוררו בו לבטים ותחושות קשות, בהן לא שיתף את המשיבה. גם אם ניתן לסבור כי ראוי היה שינהג ביתר פתיחות עם המשיבה וישתף אותה בהיסוסיו ולבטיו, הדבר אינו מצדיק תוצאה כה מרחיקת לכת של ויתור על דרישת ההסכמה וכפיית הורות. יש להיזהר מקביעת סטנדרטים מחייבים של התנהגות ראויה בעניינים האינטימיים שבינו לבינה, בפרט כאשר סטייה מסטנדרטים אלה מובילה לתוצאה כה הרת גורל. יש להיזהר גם מניתוח התנהגות הצדדים בדיעבד, על פי מצב דברים שהתחוור רק לאחר מעשה. בזמן אמת, בעת הפריית הביציות, הכל קיוו כי בסבב טיפולים נוסף יופקו ביציות נוספות של המשיבה. הם לא ידעו כי המשיבה תיאלץ להפסיק את הטיפול לשימור פוריות, ובוודאי לא ידעו כי בתוך זמן קצר תיאלץ לעבור כריתת רחם. הדבר משליך על עוצמת המצג וההסתמכות של המשיבה לעת ההיא.</w:t>
      </w:r>
    </w:p>
    <w:p w:rsidR="006D7615" w:rsidRDefault="006D7615" w:rsidP="006D7615">
      <w:pPr>
        <w:spacing w:line="360" w:lineRule="auto"/>
        <w:ind w:left="720"/>
        <w:jc w:val="both"/>
        <w:rPr>
          <w:rFonts w:ascii="Arial" w:hAnsi="Arial"/>
          <w:noProof w:val="0"/>
          <w:rtl/>
        </w:rPr>
      </w:pPr>
      <w:r>
        <w:rPr>
          <w:rFonts w:ascii="Arial" w:hAnsi="Arial"/>
          <w:noProof w:val="0"/>
          <w:rtl/>
        </w:rPr>
        <w:lastRenderedPageBreak/>
        <w:t xml:space="preserve">המערער לא הונה את המשיבה במכוון, וממילא לא הייתה לו כל סיבה לעשות כן. ההשתתפות בתהליך שימור הפוריות לא הניבה לו טובת הנאה כלשהי, מלבד האפשרות להביא לעולם ילדים עם המשיבה, אם הזוגיות בין השניים תתפתח להקמת משפחה. לא ניתן לייחס למערער זדון או הונאה. אין גם לבוא אליו בטרוניה על כי חש לבטים לגבי המשך הקשר.  הטרוניה היחידה היא כי לא שיתף את המשיבה.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52.</w:t>
      </w:r>
      <w:r>
        <w:rPr>
          <w:rFonts w:ascii="Arial" w:hAnsi="Arial"/>
          <w:noProof w:val="0"/>
          <w:rtl/>
        </w:rPr>
        <w:tab/>
        <w:t xml:space="preserve">יש לזכור כי המשיבה ידעה כי תידרש הסכמתו של המערער לעשות שימוש בעוברים המשותפים, היא ידעה כי השנים טרם מיסדו את הזוגיות ביניהם, וגם אם קיוותה כי יקימו משפחה יחד, לא הייתה לה כל וודאות בכך. המשיבה לא יכלה להניח כדבר מובן מאליו את המשך הקשר הזוגי.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במצב סבוך זה, המשיבה נדרשה להחלטה קשה, והיא החליטה להפרות את שלוש הביציות בזרעו של המערער. מתוך רצון להגדיל את סיכויי השרידות של המטען הגנטי, היא קיבלה על עצמה ביודעין את ההסדר המשפטי המחייב בעתיד הסכמה של המערער לשימוש בעוברים.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שני בני הזוג יכלו להביא בחשבון את האפשרות שלא יושלם סבב נוסף של טיפולים ושאיבה, אך איש מהם לא יכול היה להתנבא על העתיד. ההנחה הייתה כי המשיבה מתחילה סבב טיפולים נוספים, כפי שאכן ארע, ובסופו ישאבו ביציות נוספות. ברקע הדברים עמדה המלצתו של פרופ' לויטס כי מחציתן של הביציות יופרו ויוקפאו עוברים ומחציתן יוקפאו ללא הפרייה. למרבה הצער, הדבר לא התאפשר. </w:t>
      </w:r>
    </w:p>
    <w:p w:rsidR="006D7615" w:rsidRDefault="006D7615" w:rsidP="006D7615">
      <w:pPr>
        <w:spacing w:line="360" w:lineRule="auto"/>
        <w:ind w:left="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53.</w:t>
      </w:r>
      <w:r>
        <w:rPr>
          <w:rFonts w:ascii="Arial" w:hAnsi="Arial"/>
          <w:noProof w:val="0"/>
          <w:rtl/>
        </w:rPr>
        <w:tab/>
        <w:t xml:space="preserve">כמיהתה של המשיבה היום לילד שיהיה ילדה הגנטי, מובנת ומעוררת אמפטיה גדולה. אך לטעמי לא ניתן לוותר על יסוד ההסכמה של המערער. </w:t>
      </w:r>
    </w:p>
    <w:p w:rsidR="006D7615" w:rsidRDefault="006D7615" w:rsidP="006D7615">
      <w:pPr>
        <w:spacing w:line="360" w:lineRule="auto"/>
        <w:ind w:left="720"/>
        <w:jc w:val="both"/>
        <w:rPr>
          <w:rFonts w:ascii="Arial" w:hAnsi="Arial"/>
          <w:noProof w:val="0"/>
          <w:rtl/>
        </w:rPr>
      </w:pPr>
      <w:r>
        <w:rPr>
          <w:rFonts w:ascii="Arial" w:hAnsi="Arial"/>
          <w:noProof w:val="0"/>
          <w:rtl/>
        </w:rPr>
        <w:t xml:space="preserve">ההכרה המבורכת בזכות החוקתית להורות, לצד ההתפתחויות הטכנולוגיות והמשפטיות, לא יכולים לסייע בידה בנסיבות המצערות של המקרה שלפנינו.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54.</w:t>
      </w:r>
      <w:r>
        <w:rPr>
          <w:rFonts w:ascii="Arial" w:hAnsi="Arial"/>
          <w:noProof w:val="0"/>
          <w:rtl/>
        </w:rPr>
        <w:tab/>
        <w:t xml:space="preserve">הצדדים הרחיבו את הטיעון סביב סעיף 3 ל"הסכם המיוחד" בו הם הצהירו כי </w:t>
      </w:r>
      <w:r>
        <w:rPr>
          <w:rFonts w:ascii="Arial" w:hAnsi="Arial"/>
          <w:b/>
          <w:bCs/>
          <w:noProof w:val="0"/>
          <w:rtl/>
        </w:rPr>
        <w:t>"העוברים שיווצרו מההפריה הנ"ל מיועדים להחדרה לרחמה של האישה ולא לצורך החדרה "לאם נושאת" (פונדקאית) אחרת".</w:t>
      </w:r>
      <w:r>
        <w:rPr>
          <w:rFonts w:ascii="Arial" w:hAnsi="Arial"/>
          <w:noProof w:val="0"/>
          <w:rtl/>
        </w:rPr>
        <w:t xml:space="preserve"> גם בית המשפט קמא התמקד בסוגיה זו, קרי האם המערער רשאי לסרב לשימוש בעוברים בשל העובדה שהמשיבה נאלצה לעבור כריתת רחם ולא ניתן להחדיר את העוברים לרחמה, ואין מנוס משימוש בפונדקאות. </w:t>
      </w: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לטעמי, שאלה זו היא משנית בחשיבותה לשאלה האם בכלל ניתן לעשות שימוש בעוברים ללא הסכמת המערער. </w:t>
      </w:r>
    </w:p>
    <w:p w:rsidR="006D7615" w:rsidRDefault="006D7615" w:rsidP="006D7615">
      <w:pPr>
        <w:spacing w:line="360" w:lineRule="auto"/>
        <w:ind w:left="720" w:hanging="720"/>
        <w:jc w:val="both"/>
        <w:rPr>
          <w:rFonts w:ascii="Arial" w:hAnsi="Arial"/>
          <w:noProof w:val="0"/>
          <w:rtl/>
        </w:rPr>
      </w:pPr>
      <w:r>
        <w:rPr>
          <w:rFonts w:ascii="Arial" w:hAnsi="Arial"/>
          <w:noProof w:val="0"/>
          <w:rtl/>
        </w:rPr>
        <w:lastRenderedPageBreak/>
        <w:tab/>
        <w:t xml:space="preserve">מדובר אך בנדבך נוסף למסקנה כי לא ניתן לכפות על המערער שימוש בעוברים, בפרט לא בדרך של פונדקאות. כפי שנכתב לעיל, קיימת חשיבות רבה בהקפדה על הוראות "ההסכם המיוחד". יש להיזהר משימוש בדוקטרינות חוזיות של תום לב והתאמה לשינוי נסיבות. יש להיזהר גם מפרשנות הפורצת את גבולות הלשון, תוך שימוש בטכניקות של היקש וטכניקות פרשניות אחרות. אעיר רק בהקשר זה כי ההיקש מסעיף 7 ל"הסכם המיוחד" אינו נקי מספקות, שכן סעיף 7 עוסק במצב בו אחד מבני הזוג נפטר או נעלם. במצב דברים זה,  רשאי בן הזוג הנותר לבחור בדרך הטיפול בחומר הגנטי בכפוף להוראות כל דין החל על הנושא במדינת ישראל. הוראה זו בוודאי צריכה לחול באופן שוויוני על הצדדים. בקרות מצב זה, אם הדין מאפשר שימוש בפונדקאות, לא מן הנמנע כי בן הזוג הנותר – האיש או האשה – יהיה רשאי לבחור בנתיב זה. ואם הדין אינו מאפשר שימוש בפונדקאות באופן שוויוני – איש מהם אינו רשאי לבחור בנתיב זה. </w:t>
      </w:r>
    </w:p>
    <w:p w:rsidR="006D7615" w:rsidRDefault="006D7615" w:rsidP="006D7615">
      <w:pPr>
        <w:spacing w:line="360" w:lineRule="auto"/>
        <w:ind w:left="720" w:hanging="720"/>
        <w:jc w:val="both"/>
        <w:rPr>
          <w:rFonts w:ascii="Arial" w:hAnsi="Arial"/>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ab/>
        <w:t xml:space="preserve">אך בשעה שאף אחד מבני הזוג לא נפטר ולא נעלם, אין לסעיף תחולה. וכשם שאין לאפשר לאיש לעשות שימוש בעוברים המוקפאים באמצעות פונדקאית (ללא הסכמת האשה), כך אין לאפשר לאשה לעשות כן ללא הסכמת האיש. כדי לגבור על האמור ההגבלה הקבועה בסעיף 3 להסכם המיוחד, נדרשת הסכמה של שני הזוג, הסכמה שהיא עמוד התווך בהסדר המשפטי של יצירת עוברים. </w:t>
      </w:r>
    </w:p>
    <w:p w:rsidR="006D7615" w:rsidRDefault="006D7615" w:rsidP="006D7615">
      <w:pPr>
        <w:ind w:right="567"/>
        <w:jc w:val="both"/>
        <w:rPr>
          <w:rFonts w:ascii="Arial" w:hAnsi="Arial"/>
          <w:b/>
          <w:bCs/>
          <w:noProof w:val="0"/>
          <w:rtl/>
        </w:rPr>
      </w:pPr>
    </w:p>
    <w:p w:rsidR="006D7615" w:rsidRDefault="006D7615" w:rsidP="006D7615">
      <w:pPr>
        <w:spacing w:line="360" w:lineRule="auto"/>
        <w:ind w:left="720" w:hanging="720"/>
        <w:jc w:val="both"/>
        <w:rPr>
          <w:rFonts w:ascii="Arial" w:hAnsi="Arial"/>
          <w:noProof w:val="0"/>
          <w:rtl/>
        </w:rPr>
      </w:pPr>
      <w:r>
        <w:rPr>
          <w:rFonts w:ascii="Arial" w:hAnsi="Arial"/>
          <w:noProof w:val="0"/>
          <w:rtl/>
        </w:rPr>
        <w:t xml:space="preserve">אשר על כן, אציע לחבריי לקבל את הערעור, ללא צו להוצאות. </w:t>
      </w:r>
    </w:p>
    <w:p w:rsidR="006D7615" w:rsidRDefault="006D7615" w:rsidP="006D7615">
      <w:pPr>
        <w:spacing w:line="480" w:lineRule="auto"/>
        <w:jc w:val="both"/>
        <w:rPr>
          <w:rFonts w:ascii="Arial" w:hAnsi="Arial"/>
          <w:noProof w:val="0"/>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3"/>
      </w:tblGrid>
      <w:tr w:rsidR="006D7615" w:rsidTr="006D7615">
        <w:tc>
          <w:tcPr>
            <w:tcW w:w="2891" w:type="dxa"/>
            <w:vAlign w:val="center"/>
            <w:hideMark/>
          </w:tcPr>
          <w:sdt>
            <w:sdtPr>
              <w:rPr>
                <w:rFonts w:cs="Times New Roman" w:hint="cs"/>
                <w:b/>
                <w:bCs/>
                <w:rtl/>
              </w:rPr>
              <w:alias w:val="MergeField"/>
              <w:tag w:val="2250"/>
              <w:id w:val="67153216"/>
            </w:sdtPr>
            <w:sdtEndPr/>
            <w:sdtContent>
              <w:p w:rsidR="006D7615" w:rsidRDefault="006D7615">
                <w:pPr>
                  <w:jc w:val="right"/>
                  <w:rPr>
                    <w:rFonts w:cs="Times New Roman"/>
                    <w:b/>
                    <w:bCs/>
                    <w:noProof w:val="0"/>
                    <w:rtl/>
                  </w:rPr>
                </w:pPr>
                <w:r>
                  <w:rPr>
                    <w:b/>
                    <w:bCs/>
                  </w:rPr>
                  <w:drawing>
                    <wp:inline distT="0" distB="0" distL="0" distR="0">
                      <wp:extent cx="733425" cy="457200"/>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p>
            </w:sdtContent>
          </w:sdt>
        </w:tc>
      </w:tr>
      <w:tr w:rsidR="006D7615" w:rsidTr="006D7615">
        <w:tc>
          <w:tcPr>
            <w:tcW w:w="2891" w:type="dxa"/>
            <w:vAlign w:val="center"/>
            <w:hideMark/>
          </w:tcPr>
          <w:p w:rsidR="006D7615" w:rsidRDefault="000D68D0">
            <w:pPr>
              <w:spacing w:line="360" w:lineRule="auto"/>
              <w:jc w:val="right"/>
              <w:rPr>
                <w:rFonts w:ascii="David" w:hAnsi="David"/>
                <w:b/>
                <w:bCs/>
                <w:rtl/>
              </w:rPr>
            </w:pPr>
            <w:sdt>
              <w:sdtPr>
                <w:rPr>
                  <w:b/>
                  <w:bCs/>
                  <w:rtl/>
                </w:rPr>
                <w:alias w:val="2235"/>
                <w:tag w:val="2235"/>
                <w:id w:val="-720521034"/>
              </w:sdtPr>
              <w:sdtEndPr/>
              <w:sdtContent>
                <w:r w:rsidR="006D7615">
                  <w:rPr>
                    <w:rFonts w:ascii="David" w:hAnsi="David"/>
                    <w:b/>
                    <w:bCs/>
                    <w:rtl/>
                  </w:rPr>
                  <w:t>גאולה</w:t>
                </w:r>
              </w:sdtContent>
            </w:sdt>
            <w:r w:rsidR="006D7615">
              <w:rPr>
                <w:b/>
                <w:bCs/>
                <w:rtl/>
              </w:rPr>
              <w:t xml:space="preserve">  </w:t>
            </w:r>
            <w:sdt>
              <w:sdtPr>
                <w:rPr>
                  <w:rFonts w:cs="Times New Roman" w:hint="cs"/>
                  <w:b/>
                  <w:bCs/>
                  <w:rtl/>
                </w:rPr>
                <w:alias w:val="2240"/>
                <w:tag w:val="2240"/>
                <w:id w:val="-1902588930"/>
              </w:sdtPr>
              <w:sdtEndPr/>
              <w:sdtContent>
                <w:r w:rsidR="006D7615">
                  <w:rPr>
                    <w:b/>
                    <w:bCs/>
                    <w:rtl/>
                  </w:rPr>
                  <w:t>לוין</w:t>
                </w:r>
              </w:sdtContent>
            </w:sdt>
            <w:r w:rsidR="006D7615">
              <w:rPr>
                <w:b/>
                <w:bCs/>
                <w:rtl/>
              </w:rPr>
              <w:t xml:space="preserve">, </w:t>
            </w:r>
            <w:sdt>
              <w:sdtPr>
                <w:rPr>
                  <w:rFonts w:cs="Times New Roman" w:hint="cs"/>
                  <w:b/>
                  <w:bCs/>
                  <w:rtl/>
                </w:rPr>
                <w:alias w:val="2245"/>
                <w:tag w:val="2245"/>
                <w:id w:val="1153263691"/>
              </w:sdtPr>
              <w:sdtEndPr/>
              <w:sdtContent>
                <w:r w:rsidR="006D7615">
                  <w:rPr>
                    <w:b/>
                    <w:bCs/>
                    <w:rtl/>
                  </w:rPr>
                  <w:t>שופטת</w:t>
                </w:r>
              </w:sdtContent>
            </w:sdt>
          </w:p>
        </w:tc>
      </w:tr>
      <w:tr w:rsidR="006D7615" w:rsidTr="006D7615">
        <w:tc>
          <w:tcPr>
            <w:tcW w:w="2891" w:type="dxa"/>
            <w:vAlign w:val="center"/>
          </w:tcPr>
          <w:p w:rsidR="006D7615" w:rsidRDefault="006D7615">
            <w:pPr>
              <w:spacing w:line="360" w:lineRule="auto"/>
              <w:rPr>
                <w:rFonts w:ascii="David" w:hAnsi="David"/>
              </w:rPr>
            </w:pPr>
          </w:p>
        </w:tc>
      </w:tr>
    </w:tbl>
    <w:p w:rsidR="006D7615" w:rsidRDefault="006D7615" w:rsidP="006D7615">
      <w:pPr>
        <w:spacing w:line="360" w:lineRule="auto"/>
        <w:jc w:val="both"/>
        <w:rPr>
          <w:rFonts w:ascii="Arial" w:hAnsi="Arial"/>
          <w:b/>
          <w:bCs/>
          <w:noProof w:val="0"/>
          <w:u w:val="single"/>
        </w:rPr>
      </w:pPr>
      <w:r>
        <w:rPr>
          <w:rFonts w:ascii="Arial" w:hAnsi="Arial"/>
          <w:b/>
          <w:bCs/>
          <w:noProof w:val="0"/>
          <w:u w:val="single"/>
          <w:rtl/>
        </w:rPr>
        <w:t>כב' השופט י' דנינו:</w:t>
      </w:r>
    </w:p>
    <w:p w:rsidR="006D7615" w:rsidRDefault="006D7615" w:rsidP="006D7615">
      <w:pPr>
        <w:spacing w:line="360" w:lineRule="auto"/>
        <w:jc w:val="both"/>
        <w:rPr>
          <w:rFonts w:ascii="Arial" w:hAnsi="Arial"/>
          <w:noProof w:val="0"/>
          <w:rtl/>
        </w:rPr>
      </w:pPr>
    </w:p>
    <w:p w:rsidR="006D7615" w:rsidRDefault="006D7615" w:rsidP="006D7615">
      <w:pPr>
        <w:pStyle w:val="ad"/>
        <w:numPr>
          <w:ilvl w:val="0"/>
          <w:numId w:val="3"/>
        </w:numPr>
        <w:shd w:val="clear" w:color="auto" w:fill="FFFFFF"/>
        <w:spacing w:after="80" w:line="360" w:lineRule="auto"/>
        <w:jc w:val="both"/>
        <w:rPr>
          <w:rFonts w:ascii="David" w:hAnsi="David"/>
          <w:noProof w:val="0"/>
          <w:rtl/>
        </w:rPr>
      </w:pPr>
      <w:r>
        <w:rPr>
          <w:rFonts w:ascii="David" w:hAnsi="David"/>
          <w:rtl/>
        </w:rPr>
        <w:t xml:space="preserve">קראתי בעיון את </w:t>
      </w:r>
      <w:r>
        <w:rPr>
          <w:rFonts w:ascii="David" w:hAnsi="David"/>
          <w:color w:val="000000"/>
          <w:rtl/>
        </w:rPr>
        <w:t>חוות</w:t>
      </w:r>
      <w:r>
        <w:rPr>
          <w:rFonts w:ascii="David" w:hAnsi="David"/>
          <w:rtl/>
        </w:rPr>
        <w:t xml:space="preserve"> דעתה המקיפה, הסדורה והבהירה של חברתי, כב' השופטת ג' לוין. </w:t>
      </w:r>
    </w:p>
    <w:p w:rsidR="006D7615" w:rsidRDefault="006D7615" w:rsidP="006D7615">
      <w:pPr>
        <w:pStyle w:val="ad"/>
        <w:shd w:val="clear" w:color="auto" w:fill="FFFFFF"/>
        <w:spacing w:after="80"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Pr>
      </w:pPr>
      <w:r>
        <w:rPr>
          <w:rFonts w:ascii="David" w:hAnsi="David"/>
          <w:rtl/>
        </w:rPr>
        <w:t>דרך הילוכי ומסקנתי שונה. מתוך שכך, אינני סבור כי יש מקום להתערב בתוצאת פסק דינו של בית משפט קמא, אף אם לא בהכרח מנימוקי פסק הדין במלואם.</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Pr>
      </w:pPr>
      <w:r>
        <w:rPr>
          <w:rFonts w:ascii="David" w:hAnsi="David"/>
          <w:rtl/>
        </w:rPr>
        <w:t xml:space="preserve">תחילה, אבקש לעמוד על טיב זכויותיהם הנוגדות של המערער והמשיבה, בעניין הזכות להורות לעומת הזכות של בן הזוג מנגד שלא להיות הורה בעל כורחו. בהקשר זה תינתן </w:t>
      </w:r>
      <w:r>
        <w:rPr>
          <w:rFonts w:ascii="David" w:hAnsi="David"/>
          <w:rtl/>
        </w:rPr>
        <w:lastRenderedPageBreak/>
        <w:t>הדעת אף לעובדה כי המערער הפך בינתיים אב לשני ילדים מאישה אחרת, והרי טענתו האידנא אינה עוד כי אינו חפץ להיות כלל הורה כי אם שאינו חפץ להיות הורה לילד הספציפי שאפשר כי ייוולד מהביצית המופרית.</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אחר זאת. אבקש להידרש לשתי הסוגיות העיקריות שעמדו בטבורה של ההכרעה שניצבה לפתחו של בית משפט קמא: השאלה האחת, האם נוסח ה"תצהיר" עליו חתמו הצדדים מלמד כי בשים לב לכריתת רחמה של המשיבה, אין היא זכאית לטעון כי קיימת לה זכות להחדרת הביציות המופרות לאם נושאת. השאלה השנייה, ככל שיימצא כי חרף לשון ה"תצהיר" הצדדים לא כבלו עצמם להחדרה לרחמה של המשיבה דווקא, האם קנויה למערער זכות לחזור בו עד למועד ההחדרה לרחם או שמא על רקע ההשתלשלות העובדתית בגדרי נסיבות המקרה, יש לקרוא מסקנה כי זכותה של המשיבה גוברת ויש לבכר עמדתה.  </w:t>
      </w:r>
    </w:p>
    <w:p w:rsidR="006D7615" w:rsidRDefault="006D7615" w:rsidP="006D7615">
      <w:pPr>
        <w:spacing w:line="360" w:lineRule="auto"/>
        <w:jc w:val="both"/>
        <w:rPr>
          <w:rFonts w:ascii="David" w:hAnsi="David"/>
          <w:b/>
          <w:bCs/>
          <w:u w:val="single"/>
          <w:rtl/>
        </w:rPr>
      </w:pPr>
    </w:p>
    <w:p w:rsidR="006D7615" w:rsidRDefault="006D7615" w:rsidP="006D7615">
      <w:pPr>
        <w:spacing w:line="360" w:lineRule="auto"/>
        <w:jc w:val="both"/>
        <w:rPr>
          <w:rFonts w:ascii="David" w:hAnsi="David"/>
          <w:b/>
          <w:bCs/>
          <w:u w:val="single"/>
          <w:rtl/>
        </w:rPr>
      </w:pPr>
      <w:r>
        <w:rPr>
          <w:rFonts w:ascii="David" w:hAnsi="David"/>
          <w:b/>
          <w:bCs/>
          <w:u w:val="single"/>
          <w:rtl/>
        </w:rPr>
        <w:t>הזכות להורות לעומת הזכות לאי הורות</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בדנ"א 2401/95 </w:t>
      </w:r>
      <w:r>
        <w:rPr>
          <w:rFonts w:ascii="David" w:hAnsi="David"/>
          <w:b/>
          <w:bCs/>
          <w:u w:val="single"/>
          <w:rtl/>
        </w:rPr>
        <w:t>נחמני נ' נחמני</w:t>
      </w:r>
      <w:r>
        <w:rPr>
          <w:rFonts w:ascii="David" w:hAnsi="David"/>
          <w:rtl/>
        </w:rPr>
        <w:t>, פ"ד נ(4) 661 (1996) (להלן: "</w:t>
      </w:r>
      <w:r>
        <w:rPr>
          <w:rFonts w:ascii="David" w:hAnsi="David"/>
          <w:b/>
          <w:bCs/>
          <w:rtl/>
        </w:rPr>
        <w:t>דנ"א נחמני</w:t>
      </w:r>
      <w:r>
        <w:rPr>
          <w:rFonts w:ascii="David" w:hAnsi="David"/>
          <w:rtl/>
        </w:rPr>
        <w:t>") עמד בית המשפט העליון על משקלה המכריע של הזכות להורות בתרבות האנושית. כב' השופטת שטרסברג-כהן ציינה, "</w:t>
      </w:r>
      <w:r>
        <w:rPr>
          <w:rFonts w:ascii="David" w:hAnsi="David"/>
          <w:b/>
          <w:bCs/>
          <w:rtl/>
        </w:rPr>
        <w:t>דומה כי אין מי שיחלוק על מעמדה וחשיבותה המרכזית של ההורות בחיי הפרט והחברה. אלה הם מושכלות ראשונים בתרבות האנושית לדורותיה. החברה האנושית קיימת בזכות ההולדה. מימוש היצר הטבעי של פרייה ורבייה הוא מצווה דתית מן התורה...זהו צורך בסיסי להבטחת המשכיות החברה ולהגשמה עצמית של הפרט</w:t>
      </w:r>
      <w:r>
        <w:rPr>
          <w:rFonts w:ascii="David" w:hAnsi="David"/>
          <w:rtl/>
        </w:rPr>
        <w:t>" (סעיף 5 לפסק דינה).</w:t>
      </w:r>
    </w:p>
    <w:p w:rsidR="006D7615" w:rsidRDefault="006D7615" w:rsidP="006D7615">
      <w:pPr>
        <w:pStyle w:val="ad"/>
        <w:shd w:val="clear" w:color="auto" w:fill="FFFFFF"/>
        <w:spacing w:after="80"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בבג"ץ 2458/01 </w:t>
      </w:r>
      <w:r>
        <w:rPr>
          <w:rFonts w:ascii="David" w:hAnsi="David"/>
          <w:b/>
          <w:bCs/>
          <w:u w:val="single"/>
          <w:rtl/>
        </w:rPr>
        <w:t>משפחה חדשה נ' הוועדה לאישור הסכמים לנשיאת עוברים, משרד הבריאות</w:t>
      </w:r>
      <w:r>
        <w:rPr>
          <w:rFonts w:ascii="David" w:hAnsi="David"/>
          <w:rtl/>
        </w:rPr>
        <w:t>, פ"ד נ"ז(1) 419 (2002) (להלן: "</w:t>
      </w:r>
      <w:r>
        <w:rPr>
          <w:rFonts w:ascii="David" w:hAnsi="David"/>
          <w:b/>
          <w:bCs/>
          <w:rtl/>
        </w:rPr>
        <w:t>עניין משפחה חדשה</w:t>
      </w:r>
      <w:r>
        <w:rPr>
          <w:rFonts w:ascii="David" w:hAnsi="David"/>
          <w:rtl/>
        </w:rPr>
        <w:t>"), הוסיף והדגיש כב' השופט מ' חשין, כי "</w:t>
      </w:r>
      <w:r>
        <w:rPr>
          <w:rFonts w:ascii="David" w:hAnsi="David"/>
          <w:b/>
          <w:bCs/>
          <w:rtl/>
        </w:rPr>
        <w:t>...עיקר הוא במשאת</w:t>
      </w:r>
      <w:r>
        <w:rPr>
          <w:rFonts w:ascii="David" w:hAnsi="David"/>
          <w:b/>
          <w:bCs/>
        </w:rPr>
        <w:t>-</w:t>
      </w:r>
      <w:r>
        <w:rPr>
          <w:rFonts w:ascii="David" w:hAnsi="David"/>
          <w:b/>
          <w:bCs/>
          <w:rtl/>
        </w:rPr>
        <w:t>הנפש לילד, באותו צורך</w:t>
      </w:r>
      <w:r>
        <w:rPr>
          <w:rFonts w:ascii="David" w:hAnsi="David"/>
          <w:b/>
          <w:bCs/>
        </w:rPr>
        <w:t>-</w:t>
      </w:r>
      <w:r>
        <w:rPr>
          <w:rFonts w:ascii="David" w:hAnsi="David"/>
          <w:b/>
          <w:bCs/>
          <w:rtl/>
        </w:rPr>
        <w:t>נפש עמוק וקמאי להוֹרוּת הבוער בנפשה של אישה ואיננו אֻכָּל; עיקר הוא באינסטינקט ההישרדות של האדם ובכורח ההמשכיות, אם תרצו: בצורך ובשוקקות להוֹרוּת המולד באדם</w:t>
      </w:r>
      <w:r>
        <w:rPr>
          <w:rFonts w:ascii="David" w:hAnsi="David"/>
          <w:b/>
          <w:bCs/>
        </w:rPr>
        <w:t>.</w:t>
      </w:r>
      <w:r>
        <w:rPr>
          <w:rFonts w:ascii="David" w:hAnsi="David"/>
          <w:b/>
          <w:bCs/>
          <w:rtl/>
        </w:rPr>
        <w:t>..</w:t>
      </w:r>
      <w:r>
        <w:rPr>
          <w:rFonts w:ascii="David" w:hAnsi="David"/>
          <w:rtl/>
        </w:rPr>
        <w:t>" (סעיף 31 לפסק דינו). בהקשר זה, ראה כב' השופט חשין לצטט ממאמרה של פרופ' ד' ברק- ארז במאמרה "</w:t>
      </w:r>
      <w:r>
        <w:rPr>
          <w:rFonts w:ascii="David" w:hAnsi="David"/>
          <w:b/>
          <w:bCs/>
          <w:rtl/>
        </w:rPr>
        <w:t>על סימטריה וניטרליות: בעקבות פרשת נחמני</w:t>
      </w:r>
      <w:r>
        <w:rPr>
          <w:rFonts w:ascii="David" w:hAnsi="David"/>
          <w:rtl/>
        </w:rPr>
        <w:t>" (עיוני משפט כ(1) תשנ"ו, 197 (1996), שם נכתב: "</w:t>
      </w:r>
      <w:r>
        <w:rPr>
          <w:rFonts w:ascii="David" w:hAnsi="David"/>
          <w:b/>
          <w:bCs/>
          <w:rtl/>
        </w:rPr>
        <w:t>מימושה של אופציית ההורות אינו רק דרך חיים אפשרית, אלא מושרש בקיום האנושי. יהיה מי שימצא בה מזור לבדידות; אחר יתמודד באמצעותה עם תודעת המוות... הבחירה בהורות אינה רק בחירה לגבי דרך חיים; יש לה משקל מעבר לכך בקיום האנושי. היא מבטאת צורך קיומי בסיסי</w:t>
      </w:r>
      <w:r>
        <w:rPr>
          <w:rFonts w:ascii="David" w:hAnsi="David"/>
          <w:rtl/>
        </w:rPr>
        <w:t xml:space="preserve">" (שם, עמ' 200). </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Pr>
      </w:pPr>
      <w:r>
        <w:rPr>
          <w:rFonts w:ascii="David" w:hAnsi="David"/>
          <w:b/>
          <w:bCs/>
          <w:rtl/>
        </w:rPr>
        <w:t>בעניין משפחה חדשה</w:t>
      </w:r>
      <w:r>
        <w:rPr>
          <w:rFonts w:ascii="David" w:hAnsi="David"/>
          <w:rtl/>
        </w:rPr>
        <w:t xml:space="preserve"> כב' השופט חשין עמד על כך שהאינסטינקט שבאדם החי ממלא את רצונו להישרדות על דרך של העמדת דור חדש הנושא את מטענו הגנטי. לדבריו, "</w:t>
      </w:r>
      <w:r>
        <w:rPr>
          <w:rFonts w:ascii="David" w:hAnsi="David"/>
          <w:b/>
          <w:bCs/>
          <w:rtl/>
        </w:rPr>
        <w:t>עיקר הוא ביצר זה שבאדם - יצר הקיום וההישרדות - בשאיפתה של אישה, שאיפה עד כלות, לילד פרי בטנה, ילד בשר מבשרה. בימים שמכבר ידע האדם אך דרך אחת בלבד לקיים את משאת נפשו, וכך כמסתבר אף נוצר התא המשפחתי. בימינו, שהטכנולוגיה עשויה להיות לעזר לאדם גם במקום שהטבע כדרכו אינו עומד לו, נדרש נימוק מכריע שלא לאפשר לאישה להיעזר באותה טכנולוגיה. ביודענו כל זאת נתקשה להסכים לטיעונה של המדינה כי תהליך הפונדקאות נמצא "בקצה הקיצוני ביותר של מדרג הזכות להורות". הזכות להורות היא ביסוד כל היסודות, בתשתית כל התשתיות, היא קיומו של המין האנושי, היא שאיפתו של האדם - בוודאי שאיפתה של אישה, וזכות זו היא בעלת עוצמה כה רבה עד שלא תתקשה להתגבר על טענה כטענתה של המדינה</w:t>
      </w:r>
      <w:r>
        <w:rPr>
          <w:rFonts w:ascii="David" w:hAnsi="David"/>
          <w:rtl/>
        </w:rPr>
        <w:t>" (שם, סעיף 32 לפסק דינו).</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הזכות להורות משקפת, אפוא, את תמצית הווייתו של האדם ואת התגלמות הגשמת עצמיותו.</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ואולם. כנגד זכותה של המשיבה להיות הורה פרי מטענה הגנטי, ניצבת מצדו השני של המתרס זכותו של המערער שלא להיות הורה בעל כורחו. מאליו מובן כי הגשמת זכותה של המשיבה הרוצה בהורות באמצעות כפיית המערער שאיננו רוצה בה, מובילה להתנגשות בין אינטרסים. ככלל, בהתנגשות בין זכויות או אינטרסים מוגנים, יבקש בית המשפט לשקול את מעמדן של הזכויות זו לעומת זו, ולאזן ביניהן. זכויות המשיבה והמערער, מזה ומזה, אינן בעלות אופי מוחלט, ומתוך שכך על בית המשפט לערוך איזון ביניהן על יסוד ערכי המשפט אף אם לעתים נדמה כי קצרה ידם של כללי המשפט הנוהגים ליתן מענה מוגדר למצב משפטי נתון.  </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להבדיל מטענת המשיבה, לפיה חרף מורכבות העניין, "</w:t>
      </w:r>
      <w:r>
        <w:rPr>
          <w:rFonts w:ascii="David" w:hAnsi="David"/>
          <w:b/>
          <w:bCs/>
          <w:rtl/>
        </w:rPr>
        <w:t>אני לא מבינה את הקושי</w:t>
      </w:r>
      <w:r>
        <w:rPr>
          <w:rFonts w:ascii="David" w:hAnsi="David"/>
          <w:rtl/>
        </w:rPr>
        <w:t>" של המערער (חקירתה מיום 30.1.22, עמ' 18 לפרו' שו' 21), סבורני כי אין לכחד מתוקף הפגיעה המתפרשת בעיני המערער מעצם כפייתו לעשות את אשר איננו חפץ בו. כפי שציינה כב' השופטת שטרסברג-כהן בדנ"א נחמני, "</w:t>
      </w:r>
      <w:r>
        <w:rPr>
          <w:rFonts w:ascii="David" w:hAnsi="David"/>
          <w:b/>
          <w:bCs/>
          <w:rtl/>
        </w:rPr>
        <w:t>ההימנעות מכפיית הורות על מי שאינו מוכן לקבלה על עצמו, מקבלת משנה תוקף לנוכח מהותה וכובד משקלה של ההורות</w:t>
      </w:r>
      <w:r>
        <w:rPr>
          <w:rFonts w:ascii="David" w:hAnsi="David"/>
          <w:rtl/>
        </w:rPr>
        <w:t xml:space="preserve">" (סעיף 9 לחוות דעתה). </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עם זאת. כפי שציינה פרופ' ברק-ארז במאמרה הנזכר בעקבות פרשת נחמני, אין לומר בהכרח כי הזכות להורות והזכות להימנע ממנה הן זכויות "סימטריות" בנות משקל שווה. לדבריה, "</w:t>
      </w:r>
      <w:r>
        <w:rPr>
          <w:rFonts w:ascii="David" w:hAnsi="David"/>
          <w:b/>
          <w:bCs/>
          <w:rtl/>
        </w:rPr>
        <w:t xml:space="preserve">הנחה זו בדבר הסימטריה בין הזכויות טעונה עיון נוסף. היא אומנם שובת לב, </w:t>
      </w:r>
      <w:r>
        <w:rPr>
          <w:rFonts w:ascii="David" w:hAnsi="David"/>
          <w:b/>
          <w:bCs/>
          <w:rtl/>
        </w:rPr>
        <w:lastRenderedPageBreak/>
        <w:t>אך רחוקה מלהיות מובנת מאליה. כלל לא ברור אם הזכות להיות הורה והזכות לא להיות הורה צריכות להיות נידונות באותו מישור רק בשל היותן סימטריות לכאורה. במילים אחרות, לא ניתן להניח קיומה של סימטריה בין שתי הזכויות רק משום שהן אוחזות בשני קצותיו של חבל ההורות</w:t>
      </w:r>
      <w:r>
        <w:rPr>
          <w:rFonts w:ascii="David" w:hAnsi="David"/>
          <w:rtl/>
        </w:rPr>
        <w:t xml:space="preserve">" (שם, עמ' 199-198). פרופ' ברק-ארז מוסיפה ומכוונת חיציה כלפי התפיסה הצרה המובעת לדבריה בע"א 5587/93 </w:t>
      </w:r>
      <w:r>
        <w:rPr>
          <w:rFonts w:ascii="David" w:hAnsi="David"/>
          <w:b/>
          <w:bCs/>
          <w:u w:val="single"/>
          <w:rtl/>
        </w:rPr>
        <w:t>נחמני נ' נחמני</w:t>
      </w:r>
      <w:r>
        <w:rPr>
          <w:rFonts w:ascii="David" w:hAnsi="David"/>
          <w:rtl/>
        </w:rPr>
        <w:t xml:space="preserve"> (פ"ד מט(1) 485 (1995), לפיה הזכות להורות נגזרת מהזכות להגשמה עצמית, לחירות ולכבוד, כמתפרש מפסק דינה של כב' השופטת שטרסברג-כהן (שם, פסקה 7). פרופ' ברק-ארז מציינת כי לזכות ההורות פנים רבות נוספות. לבד מהיותה בחירה לגבי דרך חיים, יש לה משקל מעבר לכך בקיום האנושי. נוסף על כך, יש בה משום מיסוד ההגשמה העצמית כערך, אך אין היא שואבת הורתה רק מן האוטונומיה של הרצון הפרטי, אלא ובעיקר היא זכות יסוד עצמאית.</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דומה כי מסקנתה של פרופ' ברק-ארז במאמרה הנזכר קנתה שביתה בקרב שופטי הרוב בדנ"א נחמני, כי בבוא בית המשפט לאזן בין האינטרס להיות הורה לעומת האינטרס מנגד שלא לחייב אדם להיות הורה בעל כורחו, עליו ליתן הדעת כי אינטרסים אלו אינם בהכרח שקולים. </w:t>
      </w:r>
    </w:p>
    <w:p w:rsidR="006D7615" w:rsidRDefault="006D7615" w:rsidP="006D7615">
      <w:pPr>
        <w:spacing w:line="360" w:lineRule="auto"/>
        <w:jc w:val="both"/>
        <w:rPr>
          <w:rFonts w:ascii="David" w:hAnsi="David"/>
        </w:rPr>
      </w:pPr>
    </w:p>
    <w:p w:rsidR="006D7615" w:rsidRDefault="006D7615" w:rsidP="006D7615">
      <w:pPr>
        <w:spacing w:line="360" w:lineRule="auto"/>
        <w:ind w:left="720"/>
        <w:jc w:val="both"/>
        <w:rPr>
          <w:rFonts w:ascii="David" w:hAnsi="David"/>
          <w:rtl/>
        </w:rPr>
      </w:pPr>
      <w:r>
        <w:rPr>
          <w:rFonts w:ascii="David" w:hAnsi="David"/>
          <w:rtl/>
        </w:rPr>
        <w:t>כב' השופט צ' א' טל קבע באותו עניין כי "</w:t>
      </w:r>
      <w:r>
        <w:rPr>
          <w:rFonts w:ascii="David" w:hAnsi="David"/>
          <w:b/>
          <w:bCs/>
          <w:rtl/>
        </w:rPr>
        <w:t>כנגד אינטרס קיומי זה עומד האינטרס ההפוך, שלא להיות הורה, או ליתר דיוק שלא להיות הורה בעל-כורחו. בבואנו לאזן בין האינטרסים המתנגשים זה בזה, יש לזכור כי למרות מטבע הלשון הסימטרית, "להיות הורה", ו"שלא להיות הורה", אין האינטרסים האלה שקולים. האינטרס בהורות מהווה ערך בסיסי וקיומי הן בעבור הפרט והן בעבור החברה כולה. לעומת זאת, אין שום ערך, כשהוא לעצמו, בהיעדר הורות. הערך המוגן באינטרס שלא להיות הורה הוא ערך הפרטיות, כלומר חירותו וזכותו של הפרט לבל יתערבו בהחלטותיו האינטימיות</w:t>
      </w:r>
      <w:r>
        <w:rPr>
          <w:rFonts w:ascii="David" w:hAnsi="David"/>
          <w:rtl/>
        </w:rPr>
        <w:t>". לדבריו, למסקנה בדבר העדפת האינטרס להיות הורה נוכל להגיע גם על ידי השוואת הנזקים העלולים להיגרם משלילת זכויותיה של הגב' רותי נחמני לעומת נזקיו הנטענים של מר דני נחמני. לאמור. מחד, יש לומר כי "</w:t>
      </w:r>
      <w:r>
        <w:rPr>
          <w:rFonts w:ascii="David" w:hAnsi="David"/>
          <w:b/>
          <w:bCs/>
          <w:rtl/>
        </w:rPr>
        <w:t>נטלת הורות מאדם, כאילו את נפשו נטלת</w:t>
      </w:r>
      <w:r>
        <w:rPr>
          <w:rFonts w:ascii="David" w:hAnsi="David"/>
          <w:rtl/>
        </w:rPr>
        <w:t>". מאידך, בכל הנוגע לשלילת האינטרס שלא להיות הורה, מדובר "</w:t>
      </w:r>
      <w:r>
        <w:rPr>
          <w:rFonts w:ascii="David" w:hAnsi="David"/>
          <w:b/>
          <w:bCs/>
          <w:rtl/>
        </w:rPr>
        <w:t>בהטלת נטלים שאינם רצויים לאדם. בלי למעט במשקלם של נטלים כאלה, אין הם שקולים כנגד "נטילת נפשו" של בן הזוג</w:t>
      </w:r>
      <w:r>
        <w:rPr>
          <w:rFonts w:ascii="David" w:hAnsi="David"/>
          <w:rtl/>
        </w:rPr>
        <w:t>".</w:t>
      </w:r>
    </w:p>
    <w:p w:rsidR="006D7615" w:rsidRDefault="006D7615" w:rsidP="006D7615">
      <w:pPr>
        <w:spacing w:line="360" w:lineRule="auto"/>
        <w:jc w:val="both"/>
        <w:rPr>
          <w:rFonts w:ascii="David" w:hAnsi="David"/>
          <w:rtl/>
        </w:rPr>
      </w:pPr>
    </w:p>
    <w:p w:rsidR="006D7615" w:rsidRDefault="006D7615" w:rsidP="006D7615">
      <w:pPr>
        <w:spacing w:line="360" w:lineRule="auto"/>
        <w:ind w:left="720"/>
        <w:jc w:val="both"/>
        <w:rPr>
          <w:rFonts w:ascii="David" w:hAnsi="David"/>
          <w:rtl/>
        </w:rPr>
      </w:pPr>
      <w:r>
        <w:rPr>
          <w:rFonts w:ascii="David" w:hAnsi="David"/>
          <w:rtl/>
        </w:rPr>
        <w:t>בחוות דעתה של כב' השופטת ד' דורנר באותו עניין נקבע כי בעוד השאיפה להורות מהווה לא רק צורך טבעי-ביולוגי כי אם חירות אשר בחברה האנושית מסמלת את ייחודו של האדם, הרי שהזכות לא להיות הורה ניגפת מפניה. לדבריה, "</w:t>
      </w:r>
      <w:r>
        <w:rPr>
          <w:rFonts w:ascii="David" w:hAnsi="David"/>
          <w:b/>
          <w:bCs/>
          <w:rtl/>
        </w:rPr>
        <w:t xml:space="preserve">יסודה של הזכות שלא להיות הורה היא באוטונומיה של הפרט מפני התערבות הרשות בפרטיותו... לגבי נשים וגברים </w:t>
      </w:r>
      <w:r>
        <w:rPr>
          <w:rFonts w:ascii="David" w:hAnsi="David"/>
          <w:b/>
          <w:bCs/>
          <w:rtl/>
        </w:rPr>
        <w:lastRenderedPageBreak/>
        <w:t>גם יחד נתפסת חירות זו כמוגבלת, מותנית בתנאים, ובעיקר כמשנית לעומת הזכות להעמיד צאצאים וליצור דור המשך</w:t>
      </w:r>
      <w:r>
        <w:rPr>
          <w:rFonts w:ascii="David" w:hAnsi="David"/>
          <w:rtl/>
        </w:rPr>
        <w:t>".</w:t>
      </w:r>
    </w:p>
    <w:p w:rsidR="006D7615" w:rsidRDefault="006D7615" w:rsidP="006D7615">
      <w:pPr>
        <w:spacing w:line="360" w:lineRule="auto"/>
        <w:jc w:val="both"/>
        <w:rPr>
          <w:rFonts w:ascii="David" w:hAnsi="David"/>
          <w:rtl/>
        </w:rPr>
      </w:pPr>
    </w:p>
    <w:p w:rsidR="006D7615" w:rsidRDefault="006D7615" w:rsidP="006D7615">
      <w:pPr>
        <w:spacing w:line="360" w:lineRule="auto"/>
        <w:ind w:left="720"/>
        <w:jc w:val="both"/>
        <w:rPr>
          <w:rFonts w:ascii="David" w:hAnsi="David"/>
          <w:rtl/>
        </w:rPr>
      </w:pPr>
      <w:r>
        <w:rPr>
          <w:rFonts w:ascii="David" w:hAnsi="David"/>
          <w:rtl/>
        </w:rPr>
        <w:t>כב' השופט י' קדמי הוסיף וקבע באותו עניין כי הפרייתה של ביצית היא בבחינת "</w:t>
      </w:r>
      <w:r>
        <w:rPr>
          <w:rFonts w:ascii="David" w:hAnsi="David"/>
          <w:b/>
          <w:bCs/>
          <w:rtl/>
        </w:rPr>
        <w:t>מעשה מוגמר</w:t>
      </w:r>
      <w:r>
        <w:rPr>
          <w:rFonts w:ascii="David" w:hAnsi="David"/>
          <w:rtl/>
        </w:rPr>
        <w:t>", כלשונו, שאין אחריו חרטה, שכן, לא ניתן להחזיר את המצב לקדמותו ולהשיב לגבר ולאישה הנוגעים בדבר את שהשקיעו משלהם ב"ישות החדשה", היא הביצית המופרית. אומנם, ניתן להורות על השמדת הביצית המופרית אך לא ניתן עוד להפריד בין הזרע לביצית. אין לבן הזוג המבקש להתחרט ולהשמיד את "תרומתו" לביצית המופרית, זכות להשמיד גם את "תרומתו" של רעהו. כנגד זכותו של בן זוג להתחרט ולא להיות הורה לאחר הפריה, ניצבת זכותו המוגברת של בן הזוג האחר להשלים את תהליך הולדת הוולד ולהפוך להורה. אף שהדברים נכתבו במערך החוקי שנהג אותה עת, הרציונל האמור בהם יפה במידה זהה גם בענייננו.</w:t>
      </w:r>
    </w:p>
    <w:p w:rsidR="006D7615" w:rsidRDefault="006D7615" w:rsidP="006D7615">
      <w:pPr>
        <w:spacing w:line="360" w:lineRule="auto"/>
        <w:jc w:val="both"/>
        <w:rPr>
          <w:rFonts w:ascii="David" w:hAnsi="David"/>
          <w:rtl/>
        </w:rPr>
      </w:pPr>
    </w:p>
    <w:p w:rsidR="006D7615" w:rsidRDefault="006D7615" w:rsidP="006D7615">
      <w:pPr>
        <w:spacing w:line="360" w:lineRule="auto"/>
        <w:ind w:left="720"/>
        <w:jc w:val="both"/>
        <w:rPr>
          <w:rFonts w:ascii="David" w:hAnsi="David"/>
          <w:rtl/>
        </w:rPr>
      </w:pPr>
      <w:r>
        <w:rPr>
          <w:rFonts w:ascii="David" w:hAnsi="David"/>
          <w:rtl/>
        </w:rPr>
        <w:t>כב' השופט ג' בך קבע באותו עניין כי יש לאמוד את משקלם המצטבר של השיקולים והעובדות, שעיקרם כדלהלן: הצדדים לא רק הסכימו להביא ילד לעולם בדרך של הפריית הביציות תוך הסתייעות בפונדקאית, אלא הרחיקו לכת במימוש אותה תכנית; דני הפריש מזרעו וגרם להפריית הביציות בהסכמה מלאה; ההליך שננקט היה כרוך בסבל פיזי קשה וממושך לרותי; בשעתו יכולה הייתה רותי להגיע לאותה תוצאה באמצעות זרעו של גבר אחר, אך העדיפה את השותפות עם דני מטעמים מובנים ותוך הסתמכות על הסכמתו המלאה לתכנית המשותפת; רותי אינה מסוגלת היום לממש את שאיפתה העזה להורות אלא באמצעות הביצית המופרת; דני זכה בינתיים להורות ויוכל אף בעתיד להתנסות בחוויה נהדרת זו. אכן. כב' השופט בך הוסיף וקבע כי לו נתבקש בית המשפט לצוות על דני לשתף פעולה באופן אקטיבי לצורך מימוש הליך ההפריה, בדרך של הפרשת זרע או השתתפות בבדיקות או בטיפולים רפואיים או בביצוע תשלומים, אזי יש ביסוס לטענה שמתן צו כזה עלול לפגוע בחירות מוגנת שלו. ואולם, דני איננו נדרש על ידי רותי לעשות בשלב זה מעשה פוזיטיבי, וכל מבוקשו הוא להורות כי לא יימסרו לה הביציות המופרות ובדרך זו לסכל את מימוש ההורות שתוכננה בעבר על ידי שני בני הזוג במשותף.</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מתפרש, אפוא, כפי שציין בית משפט קמא, כי הזכות להורות והזכות להימנע מהורות אינן שוות משקל. כמאמר כב' השופטת שטרסברג-כהן בדנ"א נחמני, ההצדקה העיונית במתן משקל מוגבר לזכות להימנע מהורות נעוצה בעיקרה בכך שהורות, מדרך הטבע, כרוכה בהגבלה מובנית של חופש הבחירה העתידי. מרגע שאדם הופך להיות הורה, מטיל עליו הדין חובה לדאוג לילדו ולהעמיד את טובתו בראש מעייניו. חובתו של ההורה חובקת את מרבית </w:t>
      </w:r>
      <w:r>
        <w:rPr>
          <w:rFonts w:ascii="David" w:hAnsi="David"/>
          <w:rtl/>
        </w:rPr>
        <w:lastRenderedPageBreak/>
        <w:t>מישורי חייו וכרוכה בשינוי משמעותי בזכויותיו וחובותיו. הורה איננו יכול להתכחש לצרכיו של ילדו רק משום שלא נוח לו למלא אותם. על כן, אין לכחד כי כפיית הורות על מי שאיננו חפץ בכך איננה מתמצה בנטל כלכלי בלבד, כי אם במטען רחב היקף, הכורך בחובו משאבי זמן ואנרגיות נפשיות, מרגע הולדת הילד.</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בענייננו. בעמדתה המסכמת של היועצת המשפטית לממשלה (להלן: "</w:t>
      </w:r>
      <w:r>
        <w:rPr>
          <w:rFonts w:ascii="David" w:hAnsi="David"/>
          <w:b/>
          <w:bCs/>
          <w:rtl/>
        </w:rPr>
        <w:t>היועמ"שית</w:t>
      </w:r>
      <w:r>
        <w:rPr>
          <w:rFonts w:ascii="David" w:hAnsi="David"/>
          <w:rtl/>
        </w:rPr>
        <w:t xml:space="preserve">"), צוין כי נוכח הוראות </w:t>
      </w:r>
      <w:r>
        <w:rPr>
          <w:rFonts w:ascii="David" w:hAnsi="David"/>
          <w:color w:val="000000"/>
          <w:u w:val="single"/>
          <w:rtl/>
        </w:rPr>
        <w:t xml:space="preserve">חוק הסכמים </w:t>
      </w:r>
      <w:r>
        <w:rPr>
          <w:rFonts w:ascii="David" w:hAnsi="David"/>
          <w:u w:val="single"/>
          <w:rtl/>
        </w:rPr>
        <w:t>לנשיאת</w:t>
      </w:r>
      <w:r>
        <w:rPr>
          <w:rFonts w:ascii="David" w:hAnsi="David"/>
          <w:color w:val="000000"/>
          <w:u w:val="single"/>
          <w:rtl/>
        </w:rPr>
        <w:t xml:space="preserve"> עוברים (אישור הסכם ומעמד היילוד)</w:t>
      </w:r>
      <w:r>
        <w:rPr>
          <w:rFonts w:ascii="David" w:hAnsi="David"/>
          <w:color w:val="000000"/>
          <w:rtl/>
        </w:rPr>
        <w:t>, התשנ"ו-1996 (להלן: "</w:t>
      </w:r>
      <w:r>
        <w:rPr>
          <w:rFonts w:ascii="David" w:hAnsi="David"/>
          <w:b/>
          <w:bCs/>
          <w:color w:val="000000"/>
          <w:rtl/>
        </w:rPr>
        <w:t>חוק הפונדקאות</w:t>
      </w:r>
      <w:r>
        <w:rPr>
          <w:rFonts w:ascii="David" w:hAnsi="David"/>
          <w:color w:val="000000"/>
          <w:rtl/>
        </w:rPr>
        <w:t>"),</w:t>
      </w:r>
      <w:r>
        <w:rPr>
          <w:rFonts w:ascii="David" w:hAnsi="David"/>
          <w:rtl/>
        </w:rPr>
        <w:t xml:space="preserve"> על בית המשפט להכריע האם ניתן להגדיר את הצדדים כ"</w:t>
      </w:r>
      <w:r>
        <w:rPr>
          <w:rFonts w:ascii="David" w:hAnsi="David"/>
          <w:b/>
          <w:bCs/>
          <w:rtl/>
        </w:rPr>
        <w:t>הורים מיועדים</w:t>
      </w:r>
      <w:r>
        <w:rPr>
          <w:rFonts w:ascii="David" w:hAnsi="David"/>
          <w:rtl/>
        </w:rPr>
        <w:t>" ולחלופין האם ניתן לראות במשיבה "</w:t>
      </w:r>
      <w:r>
        <w:rPr>
          <w:rFonts w:ascii="David" w:hAnsi="David"/>
          <w:b/>
          <w:bCs/>
          <w:rtl/>
        </w:rPr>
        <w:t>אם מיועדת יחידה</w:t>
      </w:r>
      <w:r>
        <w:rPr>
          <w:rFonts w:ascii="David" w:hAnsi="David"/>
          <w:rtl/>
        </w:rPr>
        <w:t>". היועמ"שית טענה כי קיים קושי לראות בבעלי הדין כשני הורים מיועדים, כהגדרתם בחוק, בשים לב לעובדה כי המערער מסרב להשלמת התהליך. אף האפשרות להכיר במשיבה "אם מיועדת יחידה" איננה נקיה מספקות, שכן, ככלל, אפשרות זו מיושמת באמצעות שימוש בתרומת זרע אנונימית, ואילו במקרה דנא זהות בעל הזרע ידועה. ממילא, כך צוין בעמדה המסכמת, על מנת להכיר במשיבה "אם מיועדת יחידה", צריך בעל הזרע הידוע לוותר על הורותו, וזה אפשרי רק באמצעות ויתור על ילד לצורך אימוץ, דבר שלא ניתן לעשותו טרם הלידה.</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חרף זאת, ציינה היועמ"שית כי להבנתה ניתן לראות במשיבה "</w:t>
      </w:r>
      <w:r>
        <w:rPr>
          <w:rFonts w:ascii="David" w:hAnsi="David"/>
          <w:b/>
          <w:bCs/>
          <w:rtl/>
        </w:rPr>
        <w:t>אם מיועדת יחידה</w:t>
      </w:r>
      <w:r>
        <w:rPr>
          <w:rFonts w:ascii="David" w:hAnsi="David"/>
          <w:rtl/>
        </w:rPr>
        <w:t>", כהגדרתה בחוק הפונדקאות, ולאפשר לה לעשות שימוש בביציות המופרות בהתאם למתווה המשפטי שהוצג בעמדתה, ואשר יפורט להלן, בכפוף להכרעת בית המשפט בשאלות העובדתיות והחוזיות שעמדו להכרעה.</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ניכר, אם כן, כי לעמדת היועמ"שית - אשר דבריה מקובלים עליי - ניתן להקהות במידה רבה את ההגבלות הכרוכות בחופש הבחירה העתידי של המערער, לרבות ביחס לחובות המוטלות תדיר על הורה מרגע הולדת ילדו. לא נעלמה מעיניי טענת המערער לפיה לא עניין של מה בכך הוא מבחינתו להשלים עם האפשרות כי יוצא חלציו יסתובב לאורכה ולרוחבה של הארץ או במקום אחר, אף אם לא יעמוד עמו בקשר (עמ' 20 לפרו' מיום 31.1.22 שו' 43-28; שם, עמ' 37 שו' 42-36; שם, עמ' 40 שו' 38). אינני מבקש להקל ראש בהיבט האמוציונלי, הנפשי והמשפחתי מצדו של המערער. ואולם, מעת שנמצא המתווה המשפטי לניתוק זיקתו של המערער מהילד שייוולד, על רקע סירובו להיות "הורה מיועד" ולחתום על ההסכם בפני הוועדה לאישור הסכמים, אין בתחושתו הסובייקטיבית כבדת המשקל, ללא חובות כלשהן כלפי הילד שייוולד, כדי לעמוד מול הזכות להורות של המשיבה, אשר אין באמתחתה אפשרות אחרת לממשה זולת באמצעות הביציות המופרות. לפיכך, נמצאנו מעמידים את זכותו של המערער להימנע מהורות, ללא שבצדה הגבלות על חופש הבחירה </w:t>
      </w:r>
      <w:r>
        <w:rPr>
          <w:rFonts w:ascii="David" w:hAnsi="David"/>
          <w:rtl/>
        </w:rPr>
        <w:lastRenderedPageBreak/>
        <w:t>העתידי שלו, אל מול כיסופיה של המשיבה לממש את זכותה להורות אשר "</w:t>
      </w:r>
      <w:r>
        <w:rPr>
          <w:rFonts w:ascii="David" w:hAnsi="David"/>
          <w:b/>
          <w:bCs/>
          <w:rtl/>
        </w:rPr>
        <w:t>היא ביסוד כל היסודות, בתשתית כל התשתיות...</w:t>
      </w:r>
      <w:r>
        <w:rPr>
          <w:rFonts w:ascii="David" w:hAnsi="David"/>
          <w:rtl/>
        </w:rPr>
        <w:t xml:space="preserve">", כמאמר כב' השופט מ' חשין </w:t>
      </w:r>
      <w:r>
        <w:rPr>
          <w:rFonts w:ascii="David" w:hAnsi="David"/>
          <w:b/>
          <w:bCs/>
          <w:rtl/>
        </w:rPr>
        <w:t>בעניין משפחה חדשה</w:t>
      </w:r>
      <w:r>
        <w:rPr>
          <w:rFonts w:ascii="David" w:hAnsi="David"/>
          <w:rtl/>
        </w:rPr>
        <w:t xml:space="preserve">.  </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אמור מעתה. באיזון שבין האינטרסים הנוגדים, מאחר שאין חשש כי המערער יישא בחיובים אישיים וכספיים כלפי ילד שייוולד בניגוד לרצונו ומאחר שלא תחול עליו חובה פוזיטיבית כלשהי, אין לומר כי משקלה של חירותו הבאה לביטוי בידיעה כי על פני האדמה מסתובב לו צאצא שהוא אינו חפץ בו, כדי לדחוק זכותה של המשיבה לעומתו. בנסיבות אלה, חירותו של המערער מוגבלת היא ומשנית לעומת זכותה של המשיבה לממש פרי מטענה הגנטי. </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בפרט נכון הדבר שעה שהמערער נישא לאישה אחרת ומימש בינתיים את הורותו באמצעות הבאת שני ילדים לעולם. הנה נא ידענו, אפוא, כי אין המדובר בהתנגדות עקרונית מצד המערער להבאת ילדים לעולם, כי אם בהתנגדותו להיות הורה לילד ספציפי שבו איננו חפץ. כב' השופטת דורנר ציינה בהקשר זה בדנ"א נחמני, "</w:t>
      </w:r>
      <w:r>
        <w:rPr>
          <w:rFonts w:ascii="David" w:hAnsi="David"/>
          <w:b/>
          <w:bCs/>
          <w:rtl/>
        </w:rPr>
        <w:t>במקרה שלפנינו, הבעל אף אינו עומד על זכותו טעמים עקרוניים השוללים הבאת ילדים לעולם. הלוא יש לו ילדה מאישה אחרת, ובילדה זו הוא חפץ. טענתו היא כנגד הורות ספציפית לעובר שנוצר בתהליך ההפריה שעברו בני הזוג</w:t>
      </w:r>
      <w:r>
        <w:rPr>
          <w:rFonts w:ascii="David" w:hAnsi="David"/>
          <w:rtl/>
        </w:rPr>
        <w:t>".</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תמציתו של דבר. בפער שבין זכותה של המשיבה להורות לעומת זכותו של המערער שלא להיות הורה, סבורני שככלל, ובפרט במקרה דנא, הכף נוטה לעבר העדפת זכותה של המשיבה.</w:t>
      </w:r>
    </w:p>
    <w:p w:rsidR="006D7615" w:rsidRDefault="006D7615" w:rsidP="006D7615">
      <w:pPr>
        <w:spacing w:line="360" w:lineRule="auto"/>
        <w:jc w:val="both"/>
        <w:rPr>
          <w:rFonts w:ascii="David" w:hAnsi="David"/>
          <w:b/>
          <w:bCs/>
          <w:u w:val="single"/>
        </w:rPr>
      </w:pPr>
    </w:p>
    <w:p w:rsidR="006D7615" w:rsidRDefault="006D7615" w:rsidP="006D7615">
      <w:pPr>
        <w:spacing w:line="360" w:lineRule="auto"/>
        <w:jc w:val="both"/>
        <w:rPr>
          <w:rFonts w:ascii="David" w:hAnsi="David"/>
          <w:b/>
          <w:bCs/>
          <w:u w:val="single"/>
          <w:rtl/>
        </w:rPr>
      </w:pPr>
      <w:r>
        <w:rPr>
          <w:rFonts w:ascii="David" w:hAnsi="David"/>
          <w:b/>
          <w:bCs/>
          <w:u w:val="single"/>
          <w:rtl/>
        </w:rPr>
        <w:t>בחינת משמעות תוקפו של ההסכם בין הצדדים בגדרי נסיבות המקרה דנא</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 xml:space="preserve">אף לו מסקנתי הייתה כי זכותה של המשיבה להורות ניצבת בשורה אחת עם זכותו של המערער שלא להיות הורה בעל כורחו, אין בכך כדי לייתר דיון בשתי הסוגיות שעמדו בליבת המחלוקת בין בעלי הדין. עיון בעמדת המערער שנפרסה לאורכו של ההליך בבית משפט קמא, מעלה כי הוא אוחז במוסרותיהן של שתי טענות מרכזיות, אשר שתיהן נסמכות על ה"תצהיר" עליו חתמו הצדדים כבני זוג שאינם נשואים המבקשים לעבור תהליך של שימור פוריות. </w:t>
      </w:r>
      <w:r>
        <w:rPr>
          <w:rFonts w:ascii="David" w:hAnsi="David"/>
          <w:b/>
          <w:bCs/>
          <w:rtl/>
        </w:rPr>
        <w:t>לפי הטענה האחת</w:t>
      </w:r>
      <w:r>
        <w:rPr>
          <w:rFonts w:ascii="David" w:hAnsi="David"/>
          <w:rtl/>
        </w:rPr>
        <w:t xml:space="preserve">, בהתאם להוראות ה"תצהיר" עליו חתמו הצדדים, הסכמתם ניתנה בכפוף לכך שהעוברים שייווצרו מההפריה יוחזרו לרחמה של המשיבה בלבד. מאחר שרחמה נכרת בשלב מאוחר יותר, ממילא לטענת המערער אין בידי </w:t>
      </w:r>
      <w:r>
        <w:rPr>
          <w:rFonts w:ascii="David" w:hAnsi="David"/>
          <w:rtl/>
        </w:rPr>
        <w:lastRenderedPageBreak/>
        <w:t xml:space="preserve">המשיבה זכות כי העוברים המופרים יוחדרו לרחם של אם נושאת. </w:t>
      </w:r>
      <w:r>
        <w:rPr>
          <w:rFonts w:ascii="David" w:hAnsi="David"/>
          <w:b/>
          <w:bCs/>
          <w:rtl/>
        </w:rPr>
        <w:t>הטענה האחרת בפי המערער</w:t>
      </w:r>
      <w:r>
        <w:rPr>
          <w:rFonts w:ascii="David" w:hAnsi="David"/>
          <w:rtl/>
        </w:rPr>
        <w:t>, שעניינה מחייב ליבון רק אם הטענה הראשונה תידחה, היא כי ממילא קנויה בידו זכות לחזור בו עד למועד החדרת הביציות לרחם.</w:t>
      </w:r>
    </w:p>
    <w:p w:rsidR="006D7615" w:rsidRDefault="006D7615" w:rsidP="006D7615">
      <w:pPr>
        <w:spacing w:line="360" w:lineRule="auto"/>
        <w:jc w:val="both"/>
        <w:rPr>
          <w:rFonts w:ascii="David" w:hAnsi="David"/>
          <w:rtl/>
        </w:rPr>
      </w:pPr>
    </w:p>
    <w:p w:rsidR="006D7615" w:rsidRDefault="006D7615" w:rsidP="006D7615">
      <w:pPr>
        <w:spacing w:line="360" w:lineRule="auto"/>
        <w:jc w:val="both"/>
        <w:rPr>
          <w:rFonts w:ascii="David" w:hAnsi="David"/>
          <w:b/>
          <w:bCs/>
          <w:u w:val="single"/>
          <w:rtl/>
        </w:rPr>
      </w:pPr>
      <w:r>
        <w:rPr>
          <w:rFonts w:ascii="David" w:hAnsi="David"/>
          <w:b/>
          <w:bCs/>
          <w:u w:val="single"/>
          <w:rtl/>
        </w:rPr>
        <w:t>הטענה האחת - האם ה"תצהיר" מחייב מסקנה כי ההחזרה תהא לרחמה של המשיבה דווקא</w:t>
      </w:r>
    </w:p>
    <w:p w:rsidR="006D7615" w:rsidRDefault="006D7615" w:rsidP="006D7615">
      <w:pPr>
        <w:shd w:val="clear" w:color="auto" w:fill="FFFFFF"/>
        <w:spacing w:after="80" w:line="260" w:lineRule="atLeast"/>
        <w:jc w:val="both"/>
        <w:rPr>
          <w:rFonts w:ascii="David" w:hAnsi="David"/>
          <w:color w:val="000000"/>
          <w:rtl/>
        </w:rPr>
      </w:pPr>
      <w:bookmarkStart w:id="1" w:name="FirstLawye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סעיף 3 ל"</w:t>
      </w:r>
      <w:r>
        <w:rPr>
          <w:rFonts w:ascii="David" w:hAnsi="David"/>
          <w:rtl/>
        </w:rPr>
        <w:t>תצהיר</w:t>
      </w:r>
      <w:r>
        <w:rPr>
          <w:rFonts w:ascii="David" w:hAnsi="David"/>
          <w:color w:val="000000"/>
          <w:rtl/>
        </w:rPr>
        <w:t xml:space="preserve">" עליו חתמו צדדים, קובע בזו הלשון: </w:t>
      </w:r>
    </w:p>
    <w:p w:rsidR="006D7615" w:rsidRDefault="006D7615" w:rsidP="006D7615">
      <w:pPr>
        <w:spacing w:line="360" w:lineRule="auto"/>
        <w:ind w:left="720"/>
        <w:jc w:val="both"/>
        <w:rPr>
          <w:rFonts w:ascii="David" w:hAnsi="David"/>
          <w:color w:val="000000"/>
          <w:rtl/>
        </w:rPr>
      </w:pPr>
      <w:r>
        <w:rPr>
          <w:rFonts w:ascii="David" w:hAnsi="David"/>
          <w:color w:val="000000"/>
          <w:rtl/>
        </w:rPr>
        <w:t>"</w:t>
      </w:r>
      <w:r>
        <w:rPr>
          <w:rFonts w:ascii="David" w:hAnsi="David"/>
          <w:b/>
          <w:bCs/>
          <w:color w:val="000000"/>
          <w:rtl/>
        </w:rPr>
        <w:t xml:space="preserve">הננו מצהירים כי העוברים שייווצרו מההפריה הנ"ל מיועדים להחדרה לרחמה של האישה ולא </w:t>
      </w:r>
      <w:r>
        <w:rPr>
          <w:rFonts w:ascii="David" w:hAnsi="David"/>
          <w:b/>
          <w:bCs/>
          <w:rtl/>
        </w:rPr>
        <w:t>לצורך</w:t>
      </w:r>
      <w:r>
        <w:rPr>
          <w:rFonts w:ascii="David" w:hAnsi="David"/>
          <w:b/>
          <w:bCs/>
          <w:color w:val="000000"/>
          <w:rtl/>
        </w:rPr>
        <w:t xml:space="preserve"> החדרה "לאם נושאת" (פונדקאית) אחרת</w:t>
      </w:r>
      <w:r>
        <w:rPr>
          <w:rFonts w:ascii="David" w:hAnsi="David"/>
          <w:color w:val="000000"/>
          <w:rtl/>
        </w:rPr>
        <w:t>".</w:t>
      </w:r>
    </w:p>
    <w:p w:rsidR="006D7615" w:rsidRDefault="006D7615" w:rsidP="006D7615">
      <w:pPr>
        <w:shd w:val="clear" w:color="auto" w:fill="FFFFFF"/>
        <w:spacing w:after="80" w:line="260" w:lineRule="atLeast"/>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לכל אורך ההליך המשפטי שנוהל בבית משפט קמא, המערער עמד על טענתו כי לאחר כריתת רחמה של המשיבה, נשמט הבסיס להתחייבותו הכלולה ב"תצהיר". כך, בסעיף 8 לתצהיר עדותו הראשית, טען, "</w:t>
      </w:r>
      <w:r>
        <w:rPr>
          <w:rFonts w:ascii="David" w:hAnsi="David"/>
          <w:b/>
          <w:bCs/>
          <w:color w:val="000000"/>
          <w:rtl/>
        </w:rPr>
        <w:t xml:space="preserve">ההתקשרות החוזית ביני לבין ח' ובינינו לבין ביה"ח סורוקה הושמה לאל, </w:t>
      </w:r>
      <w:r>
        <w:rPr>
          <w:rFonts w:ascii="David" w:hAnsi="David"/>
          <w:b/>
          <w:bCs/>
          <w:rtl/>
        </w:rPr>
        <w:t>והפכה</w:t>
      </w:r>
      <w:r>
        <w:rPr>
          <w:rFonts w:ascii="David" w:hAnsi="David"/>
          <w:b/>
          <w:bCs/>
          <w:color w:val="000000"/>
          <w:rtl/>
        </w:rPr>
        <w:t xml:space="preserve"> בלתי ישימה, הלכה למעשה כבר בתאריך 20.7.16 היות שמצבה של ח' חייב אותה לעבור כריתת רחם. המסמך עליו חתמנו, בס' 3 שלו, קובע בלשון חד משמעית שהעוברים שייווצרו כתוצאה מהפריית הביציות של ח' בזרעי "מיועדים להחדרה לרחמה של האישה ולא לצורך החדרה "לאם נושאת" (פונדקאית) אחרת". ברור מכך אין</w:t>
      </w:r>
      <w:r>
        <w:rPr>
          <w:rFonts w:ascii="David" w:hAnsi="David"/>
          <w:color w:val="000000"/>
          <w:rtl/>
        </w:rPr>
        <w:t xml:space="preserve">". </w:t>
      </w:r>
    </w:p>
    <w:p w:rsidR="006D7615" w:rsidRDefault="006D7615" w:rsidP="006D7615">
      <w:pPr>
        <w:spacing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המערער הוסיף וטען בלשונו החדה, "</w:t>
      </w:r>
      <w:r>
        <w:rPr>
          <w:rFonts w:ascii="David" w:hAnsi="David"/>
          <w:b/>
          <w:bCs/>
          <w:color w:val="000000"/>
          <w:rtl/>
        </w:rPr>
        <w:t xml:space="preserve">מצבה הבריאותי של ח' שחרר אותי כבר באותם הימים מכל מחויבות כלפיה לעניין השימוש בביציות המופרות. אני אומר את הדברים בכאב, אך זוהי עובדה. </w:t>
      </w:r>
      <w:r>
        <w:rPr>
          <w:rFonts w:ascii="David" w:hAnsi="David"/>
          <w:b/>
          <w:bCs/>
          <w:color w:val="000000"/>
          <w:u w:val="single"/>
          <w:rtl/>
        </w:rPr>
        <w:t>כריתת רחמה של ח' שם קץ ללבטיי הקשים. הגורל המר שלה אכן היטיב עמי</w:t>
      </w:r>
      <w:r>
        <w:rPr>
          <w:rFonts w:ascii="David" w:hAnsi="David"/>
          <w:color w:val="000000"/>
          <w:rtl/>
        </w:rPr>
        <w:t>" (שם, סעיף 9 לתצהירו) (ההדגשות לא במקור). באת כוח המערער אף היא נקטה בטרמינולוגיה מושחזת למדי כלפי המשיבה, עת אמרה לה בחקירתה, "</w:t>
      </w:r>
      <w:r>
        <w:rPr>
          <w:rFonts w:ascii="David" w:hAnsi="David"/>
          <w:b/>
          <w:bCs/>
          <w:color w:val="000000"/>
          <w:rtl/>
        </w:rPr>
        <w:t xml:space="preserve">אני רוצה להגיד לך שכמה שזה עצוב, </w:t>
      </w:r>
      <w:r>
        <w:rPr>
          <w:rFonts w:ascii="David" w:hAnsi="David"/>
          <w:b/>
          <w:bCs/>
          <w:color w:val="000000"/>
          <w:u w:val="single"/>
          <w:rtl/>
        </w:rPr>
        <w:t>דווקא כריתת רחם שלך הייתה תעודת הביטוח של א'... תעודת הביטוח שלו הייתה שכרתו לך את הרחם. עכשיו אני נקי מהתחייבויות שלי כלפיה</w:t>
      </w:r>
      <w:r>
        <w:rPr>
          <w:rFonts w:ascii="David" w:hAnsi="David"/>
          <w:color w:val="000000"/>
          <w:rtl/>
        </w:rPr>
        <w:t>" (עמ' 30 לפרו' מיום 30.1.22 שו' 34-31; ראו עוד: סיכומי באת כוח המערער בערעור לפנינו, עמ' 18 לפרו' שו' 35-31).</w:t>
      </w:r>
    </w:p>
    <w:p w:rsidR="006D7615" w:rsidRDefault="006D7615" w:rsidP="006D7615">
      <w:pPr>
        <w:shd w:val="clear" w:color="auto" w:fill="FFFFFF"/>
        <w:spacing w:after="80" w:line="260" w:lineRule="atLeast"/>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לטעמי. אין ללמוד מהוראת סעיף 3 ל"תצהיר" כי לצדדים החתומים הייתה התנגדות עקרונית להחדרת הביציות המופרות לרחמה של אם נושאת. הנוסח הכלול בסעיף 3 ל"תצהיר" הוא הנוסח שנמסר לצדדים לחתימה על ידי פרופ' לויטס, </w:t>
      </w:r>
      <w:r>
        <w:rPr>
          <w:rFonts w:ascii="David" w:hAnsi="David"/>
          <w:rtl/>
        </w:rPr>
        <w:t xml:space="preserve">מומחה לטיפולי פוריות במרכז הרפואי 'סורוקה', </w:t>
      </w:r>
      <w:r>
        <w:rPr>
          <w:rFonts w:ascii="David" w:hAnsi="David"/>
          <w:color w:val="000000"/>
          <w:rtl/>
        </w:rPr>
        <w:t xml:space="preserve">עת הגיעו אליו הצדדים לפגישה </w:t>
      </w:r>
      <w:r>
        <w:rPr>
          <w:rFonts w:ascii="David" w:hAnsi="David"/>
          <w:rtl/>
        </w:rPr>
        <w:t>ביום 12.11.2015,</w:t>
      </w:r>
      <w:r>
        <w:rPr>
          <w:rFonts w:ascii="David" w:hAnsi="David"/>
          <w:color w:val="000000"/>
          <w:rtl/>
        </w:rPr>
        <w:t xml:space="preserve"> ככל </w:t>
      </w:r>
      <w:r>
        <w:rPr>
          <w:rFonts w:ascii="David" w:hAnsi="David"/>
          <w:color w:val="000000"/>
          <w:rtl/>
        </w:rPr>
        <w:lastRenderedPageBreak/>
        <w:t>הנראה על יסוד ההוראות שנהגו אותה עת, ובהתחשב בעובדה כי באותו שלב היה למשיבה רחם ו"</w:t>
      </w:r>
      <w:r>
        <w:rPr>
          <w:rFonts w:ascii="David" w:hAnsi="David"/>
          <w:b/>
          <w:bCs/>
          <w:color w:val="000000"/>
          <w:rtl/>
        </w:rPr>
        <w:t>איש לא ידע שרחמה בסופו של דבר תיכרת</w:t>
      </w:r>
      <w:r>
        <w:rPr>
          <w:rFonts w:ascii="David" w:hAnsi="David"/>
          <w:color w:val="000000"/>
          <w:rtl/>
        </w:rPr>
        <w:t>" (צ.ל. "ייכרת") (סיכומי ב"כ המערער, עמ' 19 לפרו' שו' 24-23). מטעם זה סברו וגמרו הצדדים כי הביציות המופרות יוחזרו לרחמה של המשיבה. ואולם, אין להסיק מכך כי למי מהצדדים הייתה התנגדות עקרונית להחדרת הביציות המופרות לרחמה של אם נושאת, אילו ידעו אותה עת כי רחמה של המשיבה ייכרת בנסיבות המצערות שהתהוו לאחר מכן.</w:t>
      </w:r>
    </w:p>
    <w:p w:rsidR="006D7615" w:rsidRDefault="006D7615" w:rsidP="006D7615">
      <w:pPr>
        <w:shd w:val="clear" w:color="auto" w:fill="FFFFFF"/>
        <w:spacing w:after="80" w:line="260" w:lineRule="atLeast"/>
        <w:jc w:val="both"/>
        <w:rPr>
          <w:rFonts w:ascii="David" w:hAnsi="David"/>
          <w:color w:val="000000"/>
          <w:rtl/>
        </w:rPr>
      </w:pPr>
      <w:r>
        <w:rPr>
          <w:rFonts w:ascii="David" w:hAnsi="David"/>
          <w:color w:val="000000"/>
          <w:rtl/>
        </w:rPr>
        <w:t> </w:t>
      </w:r>
      <w:bookmarkEnd w:id="1"/>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בחקירתו נשאל המערער האם היה מסכים להחדיר את העוברים (הביציות המופרות) לרחמה של המשיבה אילו לא היה נכרת, והשיב בשלילה מוחלטת (עמ' 30 לפרו' מיום 31.1.22 שו' 1). באופן עוקב נשאל המערער, האם ניתן לומר כי סירובו לאפשר למשיבה לעשות שימוש בביציות המופרות, אינו קשור לבית הגידול בו ישכנו הביציות, ברחמה של המשיבה או ברחם של אם נושאת, והשיב: "</w:t>
      </w:r>
      <w:r>
        <w:rPr>
          <w:rFonts w:ascii="David" w:hAnsi="David"/>
          <w:b/>
          <w:bCs/>
          <w:color w:val="000000"/>
          <w:rtl/>
        </w:rPr>
        <w:t>אני אמרתי לך את דעתי, כן</w:t>
      </w:r>
      <w:r>
        <w:rPr>
          <w:rFonts w:ascii="David" w:hAnsi="David"/>
          <w:color w:val="000000"/>
          <w:rtl/>
        </w:rPr>
        <w:t>" (שם, שו' 5). בסיכומי באת כוח המערער בערעור, ציינה כי נוסח ה"תצהיר" עליו חתמו הצדדים תאם את הוראות הדין אותה עת, וכי "</w:t>
      </w:r>
      <w:r>
        <w:rPr>
          <w:rFonts w:ascii="David" w:hAnsi="David"/>
          <w:b/>
          <w:bCs/>
          <w:color w:val="000000"/>
          <w:rtl/>
        </w:rPr>
        <w:t>באותה עת לא הייתה אפשרות כזו בכלל</w:t>
      </w:r>
      <w:r>
        <w:rPr>
          <w:rFonts w:ascii="David" w:hAnsi="David"/>
          <w:color w:val="000000"/>
          <w:rtl/>
        </w:rPr>
        <w:t>" (עמ' 19 לפרו' שו' 11). אשר לשאלה האם מבחינת המערער הייתה נפקות כלשהי לשאלה מה יהא בית הגידול של הביציות המופרות, רחמה של המשיבה דווקא או רחמה של אם נושאת, השיבה באת כוח המערער בהגינותה: "</w:t>
      </w:r>
      <w:r>
        <w:rPr>
          <w:rFonts w:ascii="David" w:hAnsi="David"/>
          <w:b/>
          <w:bCs/>
          <w:color w:val="000000"/>
          <w:u w:val="single"/>
          <w:rtl/>
        </w:rPr>
        <w:t>האם זה באמת משנה אם ההיריון אצל אם נושאת או אחרת ? אני לא חושבת שזה משנה</w:t>
      </w:r>
      <w:r>
        <w:rPr>
          <w:rFonts w:ascii="David" w:hAnsi="David"/>
          <w:color w:val="000000"/>
          <w:rtl/>
        </w:rPr>
        <w:t>" (שם, עמ' 19 שו' 33-32). בהמשך דבריה הבהירה כי "</w:t>
      </w:r>
      <w:r>
        <w:rPr>
          <w:rFonts w:ascii="David" w:hAnsi="David"/>
          <w:b/>
          <w:bCs/>
          <w:color w:val="000000"/>
          <w:rtl/>
        </w:rPr>
        <w:t>זה משנה רק כי כתוב שלא. האיסור כתוב במפורש</w:t>
      </w:r>
      <w:r>
        <w:rPr>
          <w:rFonts w:ascii="David" w:hAnsi="David"/>
          <w:color w:val="000000"/>
          <w:rtl/>
        </w:rPr>
        <w:t>" (שם, עמ' 20 שו' 3).</w:t>
      </w:r>
    </w:p>
    <w:p w:rsidR="006D7615" w:rsidRDefault="006D7615" w:rsidP="006D7615">
      <w:pPr>
        <w:spacing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לשון אחר. המערער נתלה בלשון ההסכם אך משום שתאם את ההוראות הנוהגות אותה עת, ולא משום שאומד דעתו היה משתנה אילו נדרש לחתום על "תצהיר" הכולל הסכמה להחדרה לאם נושאת. לא בכדי באת כוח המערער הוסיפה וציינה בסיכומיה, "</w:t>
      </w:r>
      <w:r>
        <w:rPr>
          <w:rFonts w:ascii="David" w:hAnsi="David"/>
          <w:b/>
          <w:bCs/>
          <w:color w:val="000000"/>
          <w:rtl/>
        </w:rPr>
        <w:t>נוח לי היום לבוא ולהגיד שההסכם כל כך ברור ומפורש, והקונסטרוקציה שמציעה המדינה או בית משפט קמא, לטעמי, לא יכולה להתקיים</w:t>
      </w:r>
      <w:r>
        <w:rPr>
          <w:rFonts w:ascii="David" w:hAnsi="David"/>
          <w:color w:val="000000"/>
          <w:rtl/>
        </w:rPr>
        <w:t>" (שם, שו' 8-6). באופן דומה טענה, "</w:t>
      </w:r>
      <w:r>
        <w:rPr>
          <w:rFonts w:ascii="David" w:hAnsi="David"/>
          <w:b/>
          <w:bCs/>
          <w:color w:val="000000"/>
          <w:rtl/>
        </w:rPr>
        <w:t xml:space="preserve">האם זה משנה לצורך העניין לאיזה רחם ? לטעמי, אי אפשר היה להעלות על הדעת שאם צד אחד לא ירצה להמשיך את התהליך, אז אפשר יהיה לכפות עליו איזשהו היריון </w:t>
      </w:r>
      <w:r>
        <w:rPr>
          <w:rFonts w:ascii="David" w:hAnsi="David"/>
          <w:b/>
          <w:bCs/>
          <w:color w:val="000000"/>
          <w:u w:val="single"/>
          <w:rtl/>
        </w:rPr>
        <w:t>ולא חשוב אצל מי, באיזה רחם</w:t>
      </w:r>
      <w:r>
        <w:rPr>
          <w:rFonts w:ascii="David" w:hAnsi="David"/>
          <w:color w:val="000000"/>
          <w:rtl/>
        </w:rPr>
        <w:t>" (שם, שו' 14-12).</w:t>
      </w:r>
    </w:p>
    <w:p w:rsidR="006D7615" w:rsidRDefault="006D7615" w:rsidP="006D7615">
      <w:pPr>
        <w:shd w:val="clear" w:color="auto" w:fill="FFFFFF"/>
        <w:spacing w:after="80" w:line="260" w:lineRule="atLeast"/>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מפורש מכך יימצא בגרסתה של המשיבה בתצהיר עדותה הראשית ובחקירתה הנגדית, אשר נמצאה מהימנה על ידי בימ"ש קמא (ס' 35 וס' 62 לפסק הדין). כך, בסעיף 18 לתצהירה טענה המשיבה כי לאחר שיצאה מהבדיקה הרפואית מיום 3.5.2016, במהלכה הומלץ לה על הסרת הרחם, התקשרה בוכייה למערער מחשש שלא תוכל להביא ילדים </w:t>
      </w:r>
      <w:r>
        <w:rPr>
          <w:rFonts w:ascii="David" w:hAnsi="David"/>
          <w:color w:val="000000"/>
          <w:rtl/>
        </w:rPr>
        <w:lastRenderedPageBreak/>
        <w:t>לעולם. לדבריה, "</w:t>
      </w:r>
      <w:r>
        <w:rPr>
          <w:rFonts w:ascii="David" w:hAnsi="David"/>
          <w:b/>
          <w:bCs/>
          <w:color w:val="000000"/>
          <w:rtl/>
        </w:rPr>
        <w:t xml:space="preserve">א' הגיע מיד לבית החולים ושוחח עמי ארוכות והסביר לי מהלך השיחה הנ"ל כי אין לי מה לדאוג לאחר שהוקפאו שלושת העוברים, </w:t>
      </w:r>
      <w:r>
        <w:rPr>
          <w:rFonts w:ascii="David" w:hAnsi="David"/>
          <w:b/>
          <w:bCs/>
          <w:color w:val="000000"/>
          <w:u w:val="single"/>
          <w:rtl/>
        </w:rPr>
        <w:t>וכי ברור שנוכל תמיד לפנות להליך פונדקאות, והבטיח לי שיעבור את זה אתי וביחד נצליח וחזר ואמר: "העיקר שיש לנו את העוברים</w:t>
      </w:r>
      <w:r>
        <w:rPr>
          <w:rFonts w:ascii="David" w:hAnsi="David"/>
          <w:color w:val="000000"/>
          <w:rtl/>
        </w:rPr>
        <w:t>". בחקירתה חזרה המשיבה ואישרה הדברים (עמ' 29 לפרו' מיום 30.1.22 שו' 34-24). כן הוסיפה, כי המערער "</w:t>
      </w:r>
      <w:r>
        <w:rPr>
          <w:rFonts w:ascii="David" w:hAnsi="David"/>
          <w:b/>
          <w:bCs/>
          <w:color w:val="000000"/>
          <w:u w:val="single"/>
          <w:rtl/>
        </w:rPr>
        <w:t>ניחם אותי ואמר לי אין לך מה לדאוג כי יש לנו את העוברים המוקפאים ואנחנו יכולים לעשות פונדקאות</w:t>
      </w:r>
      <w:r>
        <w:rPr>
          <w:rFonts w:ascii="David" w:hAnsi="David"/>
          <w:color w:val="000000"/>
          <w:rtl/>
        </w:rPr>
        <w:t>" (שם, עמ' 30 שו' 2-1). המערערת העידה כי היא זוכרת בבירור את הדברים הללו (שם, שו' 25-22).</w:t>
      </w:r>
    </w:p>
    <w:p w:rsidR="006D7615" w:rsidRDefault="006D7615" w:rsidP="006D7615">
      <w:pPr>
        <w:spacing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כאשר נשאל המערער בחקירתו על התרחשות האירועים לאחר שהודיעו למשיבה על ההמלצה להסרת הרחם, השיב כי הגיע לבית החולים, וכי "</w:t>
      </w:r>
      <w:r>
        <w:rPr>
          <w:rFonts w:ascii="David" w:hAnsi="David"/>
          <w:b/>
          <w:bCs/>
          <w:color w:val="000000"/>
          <w:rtl/>
        </w:rPr>
        <w:t>ציער אותי לשמוע על הדבר הזה</w:t>
      </w:r>
      <w:r>
        <w:rPr>
          <w:rFonts w:ascii="David" w:hAnsi="David"/>
          <w:color w:val="000000"/>
          <w:rtl/>
        </w:rPr>
        <w:t>". לדבריו, "</w:t>
      </w:r>
      <w:r>
        <w:rPr>
          <w:rFonts w:ascii="David" w:hAnsi="David"/>
          <w:b/>
          <w:bCs/>
          <w:color w:val="000000"/>
          <w:rtl/>
        </w:rPr>
        <w:t>אמרתי לה שזה יהיה בסדר, וזהו</w:t>
      </w:r>
      <w:r>
        <w:rPr>
          <w:rFonts w:ascii="David" w:hAnsi="David"/>
          <w:color w:val="000000"/>
          <w:rtl/>
        </w:rPr>
        <w:t>" (עמ' 31 לפרו' מיום 31.1.22 שו' 23-21). כאשר נשאל האם המשיבה לא העלתה את החשש כי לא תוכל להרות, טען כי אינו זוכר זאת (שם, שו' 35-24).</w:t>
      </w:r>
    </w:p>
    <w:p w:rsidR="006D7615" w:rsidRDefault="006D7615" w:rsidP="006D7615">
      <w:pPr>
        <w:spacing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בית משפט קמא מצא להעדיף גרסת המשיבה, לפיה לאחר שעדכנה את המערער כי היא נדרשת לעבור כריתת רחם, ניחם אותה באומרו "</w:t>
      </w:r>
      <w:r>
        <w:rPr>
          <w:rFonts w:ascii="David" w:hAnsi="David"/>
          <w:b/>
          <w:bCs/>
          <w:color w:val="000000"/>
          <w:rtl/>
        </w:rPr>
        <w:t>אל תדאגי יש לנו את העוברים</w:t>
      </w:r>
      <w:r>
        <w:rPr>
          <w:rFonts w:ascii="David" w:hAnsi="David"/>
          <w:color w:val="000000"/>
          <w:rtl/>
        </w:rPr>
        <w:t xml:space="preserve">" (סעיף 62 לפסק הדין). בהינתן שאין דרכה של ערכאת הערעור להתערב בממצאים עובדתיים שנקבעו על ידי בימ"ש קמא אלא במקרים חריגים שאינם מתקיימים בענייננו, הרי קביעתו העובדתית של בית משפט קמא כי המערער הפיג כאבה של המשיבה כאשר אמר לה כי יש להם את העוברים, מלמדת כי המערער היה שְווה נפש לשאלה האם העוברים המופרים יוחדרו לרחמה של המשיבה או לרחמה של אם נושאת. </w:t>
      </w:r>
    </w:p>
    <w:p w:rsidR="006D7615" w:rsidRDefault="006D7615" w:rsidP="006D7615">
      <w:pPr>
        <w:pStyle w:val="ad"/>
        <w:rPr>
          <w:rFonts w:ascii="David" w:hAnsi="David"/>
          <w:color w:val="000000"/>
          <w:rtl/>
        </w:rPr>
      </w:pPr>
    </w:p>
    <w:p w:rsidR="006D7615" w:rsidRDefault="006D7615" w:rsidP="006D7615">
      <w:pPr>
        <w:pStyle w:val="ad"/>
        <w:shd w:val="clear" w:color="auto" w:fill="FFFFFF"/>
        <w:spacing w:after="80" w:line="360" w:lineRule="auto"/>
        <w:jc w:val="both"/>
        <w:rPr>
          <w:rFonts w:ascii="David" w:hAnsi="David"/>
          <w:color w:val="000000"/>
          <w:rtl/>
        </w:rPr>
      </w:pPr>
      <w:r>
        <w:rPr>
          <w:rFonts w:ascii="David" w:hAnsi="David"/>
          <w:color w:val="000000"/>
          <w:rtl/>
        </w:rPr>
        <w:t>בהקשר זה ייאמר עוד כי המערער טען כאמור כי למשמע בשורתה הקשה של המשיבה כי תידרש לכרות רחמה, הגיע לבית החולים ואמר לה "</w:t>
      </w:r>
      <w:r>
        <w:rPr>
          <w:rFonts w:ascii="David" w:hAnsi="David"/>
          <w:b/>
          <w:bCs/>
          <w:color w:val="000000"/>
          <w:rtl/>
        </w:rPr>
        <w:t>יהיה בסדר, וזהו</w:t>
      </w:r>
      <w:r>
        <w:rPr>
          <w:rFonts w:ascii="David" w:hAnsi="David"/>
          <w:color w:val="000000"/>
          <w:rtl/>
        </w:rPr>
        <w:t>". כך, בשעתה הקשה של המשיבה, לאחר זמן קצר בלבד מאז שהמליצו לה להסיר את רחמה, כך שלא תוכל אי פעם לשאת פרי בטן, המערער, בן זוגה מזה כשלוש שנים, הגיע לבית החולים אך על מנת להסתפק באמירה לקונית לבת זוגו כי "</w:t>
      </w:r>
      <w:r>
        <w:rPr>
          <w:rFonts w:ascii="David" w:hAnsi="David"/>
          <w:b/>
          <w:bCs/>
          <w:color w:val="000000"/>
          <w:rtl/>
        </w:rPr>
        <w:t>יהיה בסדר</w:t>
      </w:r>
      <w:r>
        <w:rPr>
          <w:rFonts w:ascii="David" w:hAnsi="David"/>
          <w:color w:val="000000"/>
          <w:rtl/>
        </w:rPr>
        <w:t>". לאחר שבית המשפט מצא לקבל גרסת המשיבה לפיה המערער אמר לה "</w:t>
      </w:r>
      <w:r>
        <w:rPr>
          <w:rFonts w:ascii="David" w:hAnsi="David"/>
          <w:b/>
          <w:bCs/>
          <w:color w:val="000000"/>
          <w:rtl/>
        </w:rPr>
        <w:t>אל תדאגי. יש לנו את העוברים</w:t>
      </w:r>
      <w:r>
        <w:rPr>
          <w:rFonts w:ascii="David" w:hAnsi="David"/>
          <w:color w:val="000000"/>
          <w:rtl/>
        </w:rPr>
        <w:t xml:space="preserve">", הרי שעל רקע הקשר הדברים ועיתויים אך סביר להניח כי המשיבה הבינה דבריו כפי שנקבע עובדתית על ידי בית משפט קמא, אשר שמע את העדויות והגיע למסקנה עובדתית ברורה.  </w:t>
      </w:r>
    </w:p>
    <w:p w:rsidR="006D7615" w:rsidRDefault="006D7615" w:rsidP="006D7615">
      <w:pPr>
        <w:shd w:val="clear" w:color="auto" w:fill="FFFFFF"/>
        <w:spacing w:after="80" w:line="260" w:lineRule="atLeast"/>
        <w:jc w:val="both"/>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ניתן היה להסתפק בכך כבסיס למסקנה לפיה המערער היה אדיש לשאלה האם העוברים יוחדרו לרחמה של המשיבה או לרחמה של אם נושאת. מכל מקום, לטעמי, למסקנה זו ניתן </w:t>
      </w:r>
      <w:r>
        <w:rPr>
          <w:rFonts w:ascii="David" w:hAnsi="David"/>
          <w:color w:val="000000"/>
          <w:rtl/>
        </w:rPr>
        <w:lastRenderedPageBreak/>
        <w:t>להגיע אף באמצעות דוקטרינות ההשלמה הנוהגות בשיטת המשפט הישראלי. לאמור, אין חולק כי במועד בו חתמו הצדדים על ה"תצהיר", "</w:t>
      </w:r>
      <w:r>
        <w:rPr>
          <w:rFonts w:ascii="David" w:hAnsi="David"/>
          <w:b/>
          <w:bCs/>
          <w:color w:val="000000"/>
          <w:rtl/>
        </w:rPr>
        <w:t>איש לא ידע שרחמה בסופו של דבר תיכרת</w:t>
      </w:r>
      <w:r>
        <w:rPr>
          <w:rFonts w:ascii="David" w:hAnsi="David"/>
          <w:color w:val="000000"/>
          <w:rtl/>
        </w:rPr>
        <w:t>" (צ.ל. "ייכרת") (סיכומי ב"כ המערער בערעור, עמ' 19 לפרו' שו' 24-23). חתימת הצדדים, אפוא, על ה"תצהיר" בנוסחו נעוץ היה בכך שסברו כי הביציות המופרות יוחזרו לרחמה של המשיבה, ולא היה להם יסוד להניח אחרת. משכך, בעת שקיבלו לחתימה את נוסח ה"תצהיר" שנהג אותה עת, ומאחר שכוונתם הייתה כי המשיבה תישא ברחמה את הביציות המופרות, חתמו על הנוסח ללא אומר ודברים.</w:t>
      </w:r>
    </w:p>
    <w:p w:rsidR="006D7615" w:rsidRDefault="006D7615" w:rsidP="006D7615">
      <w:pPr>
        <w:spacing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הצדדים לא חשבו אותה עת על אפשרות כי רחמה של המשיבה ייכרת, ולא נתנו דעתם לשאלה מה תהא עמדתם אילו כך יהא. העובדה כי לא נתנו דעתם לכך מהווה חסר הטעון השלמה. חרף נוסחו של סעיף 3 ל"תצהיר" אינני סבור כי יש בכך כדי ליצור הסדר שלילי, שכן, הנוסח הוכתב לצדדים בהיותם בני זוג, לא נשואים, שביקשו לעבור תהליך של שימור פוריות, </w:t>
      </w:r>
      <w:r>
        <w:rPr>
          <w:rFonts w:ascii="David" w:hAnsi="David"/>
          <w:color w:val="000000"/>
          <w:u w:val="single"/>
          <w:rtl/>
        </w:rPr>
        <w:t>עת למשיבה היה רחם</w:t>
      </w:r>
      <w:r>
        <w:rPr>
          <w:rFonts w:ascii="David" w:hAnsi="David"/>
          <w:color w:val="000000"/>
          <w:rtl/>
        </w:rPr>
        <w:t>. היצמדותו המאוחרת של המערער ללשון סעיף 3 ל"תצהיר" לא נובעת מהסתמכות על כך בזמן אמת.</w:t>
      </w:r>
    </w:p>
    <w:p w:rsidR="006D7615" w:rsidRDefault="006D7615" w:rsidP="006D7615">
      <w:pPr>
        <w:spacing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בשיטת המשפט הישראלית נהגו בעבר שתי דוקטרינות המאפשרות לבית המשפט להשלים את כוונת הצדדים, במקום בו ההסכם שותק: האחת, דוקטרינת "הטרדן המתערב" מכוחה ניתן לענות על חוסר בהסכם (ראו, למשל: ע"א 391/80 </w:t>
      </w:r>
      <w:r>
        <w:rPr>
          <w:rFonts w:ascii="David" w:hAnsi="David"/>
          <w:b/>
          <w:bCs/>
          <w:color w:val="000000"/>
          <w:u w:val="single"/>
          <w:rtl/>
        </w:rPr>
        <w:t>מירה ומיכאל לסרסון נ' שיכון עובדים בע"מ</w:t>
      </w:r>
      <w:r>
        <w:rPr>
          <w:rFonts w:ascii="David" w:hAnsi="David"/>
          <w:color w:val="000000"/>
          <w:rtl/>
        </w:rPr>
        <w:t xml:space="preserve"> (פ"ד לח(2) 237) 1984). האחרת, דוקטרינת "העיפרון הכחול" אשר ככלל בתי המשפט נוהגים מכוחה להפריד בין חלק תקף לחלק בטל, ולבטל חלקים בהסכם (ע"א 6821/93 </w:t>
      </w:r>
      <w:r>
        <w:rPr>
          <w:rFonts w:ascii="David" w:hAnsi="David"/>
          <w:b/>
          <w:bCs/>
          <w:color w:val="000000"/>
          <w:u w:val="single"/>
          <w:rtl/>
        </w:rPr>
        <w:t>בנק המזרחי המאוחד בע"מ נ' מגדל כפר שיתופי</w:t>
      </w:r>
      <w:r>
        <w:rPr>
          <w:rFonts w:ascii="David" w:hAnsi="David"/>
          <w:color w:val="000000"/>
          <w:rtl/>
        </w:rPr>
        <w:t xml:space="preserve">, פ"ד מט(4) 221 (1995); בג"ץ 2605/05 </w:t>
      </w:r>
      <w:r>
        <w:rPr>
          <w:rFonts w:ascii="David" w:hAnsi="David"/>
          <w:b/>
          <w:bCs/>
          <w:color w:val="000000"/>
          <w:u w:val="single"/>
          <w:rtl/>
        </w:rPr>
        <w:t xml:space="preserve">המרכז האקדמי למשפט ולעסקים, חטיבת זכויות האדם נ' שר האוצר, </w:t>
      </w:r>
      <w:r>
        <w:rPr>
          <w:rFonts w:ascii="David" w:hAnsi="David"/>
          <w:color w:val="000000"/>
          <w:rtl/>
        </w:rPr>
        <w:t xml:space="preserve">סג(2) 545 (2009); בג"ץ 1715/97 </w:t>
      </w:r>
      <w:r>
        <w:rPr>
          <w:rFonts w:ascii="David" w:hAnsi="David"/>
          <w:b/>
          <w:bCs/>
          <w:color w:val="000000"/>
          <w:u w:val="single"/>
          <w:rtl/>
        </w:rPr>
        <w:t>לשכת מנהלי ההשקעות בישראל ואח' נ' שר האוצר</w:t>
      </w:r>
      <w:r>
        <w:rPr>
          <w:rFonts w:ascii="David" w:hAnsi="David"/>
          <w:color w:val="000000"/>
          <w:rtl/>
        </w:rPr>
        <w:t xml:space="preserve">, פ"ד נא(4) 367 (1997); ע"א 169/83 </w:t>
      </w:r>
      <w:r>
        <w:rPr>
          <w:rFonts w:ascii="David" w:hAnsi="David"/>
          <w:b/>
          <w:bCs/>
          <w:color w:val="000000"/>
          <w:u w:val="single"/>
          <w:rtl/>
        </w:rPr>
        <w:t>שי נ' שי</w:t>
      </w:r>
      <w:r>
        <w:rPr>
          <w:rFonts w:ascii="David" w:hAnsi="David"/>
          <w:color w:val="000000"/>
          <w:rtl/>
        </w:rPr>
        <w:t xml:space="preserve">, פ"ד לט(3) 186 (1985). בהלכה הפסוקה נקבע כי במקרים מתאימים ניתן לעשות שימוש בעיקרון זה על מנת להוסיף סעיפים להסכם ובכך למנוע עיוות (בג"ץ 9098/01 </w:t>
      </w:r>
      <w:r>
        <w:rPr>
          <w:rFonts w:ascii="David" w:hAnsi="David"/>
          <w:b/>
          <w:bCs/>
          <w:color w:val="000000"/>
          <w:u w:val="single"/>
          <w:rtl/>
        </w:rPr>
        <w:t>ילנה גניס נ' משרד הבינוי והשיכון</w:t>
      </w:r>
      <w:r>
        <w:rPr>
          <w:rFonts w:ascii="David" w:hAnsi="David"/>
          <w:color w:val="000000"/>
          <w:rtl/>
        </w:rPr>
        <w:t>, נט(4) 241 (2004)).</w:t>
      </w:r>
    </w:p>
    <w:p w:rsidR="006D7615" w:rsidRDefault="006D7615" w:rsidP="006D7615">
      <w:pPr>
        <w:spacing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בפסיקה ובספרות שהתעצבה ברבות הזמן, הובעה הדעה לפיה שתי דוקטרינות אלו אינן יכולות לשמש מסד לצורך השלמת פרטים, וכי לשם כך ניתן לעשות שימוש בהוראת </w:t>
      </w:r>
      <w:r>
        <w:rPr>
          <w:rFonts w:ascii="David" w:hAnsi="David"/>
          <w:color w:val="000000"/>
          <w:u w:val="single"/>
          <w:rtl/>
        </w:rPr>
        <w:t>סעיף 26</w:t>
      </w:r>
      <w:r>
        <w:rPr>
          <w:rFonts w:ascii="David" w:hAnsi="David"/>
          <w:color w:val="000000"/>
          <w:rtl/>
        </w:rPr>
        <w:t xml:space="preserve"> </w:t>
      </w:r>
      <w:r>
        <w:rPr>
          <w:rFonts w:ascii="David" w:hAnsi="David"/>
          <w:color w:val="000000"/>
          <w:u w:val="single"/>
          <w:rtl/>
        </w:rPr>
        <w:t>לחוק החוזים</w:t>
      </w:r>
      <w:r>
        <w:rPr>
          <w:rFonts w:ascii="David" w:hAnsi="David"/>
          <w:color w:val="000000"/>
          <w:rtl/>
        </w:rPr>
        <w:t xml:space="preserve"> שעניינה 'השלמת פרטים', וכן בעיקרון תום הלב הדן בחובת קיום החוזה בתום לב (ראו, למשל, ע"א 636/78 </w:t>
      </w:r>
      <w:r>
        <w:rPr>
          <w:rFonts w:ascii="David" w:hAnsi="David"/>
          <w:b/>
          <w:bCs/>
          <w:color w:val="000000"/>
          <w:u w:val="single"/>
          <w:rtl/>
        </w:rPr>
        <w:t>ויצמן נ' אברמזון</w:t>
      </w:r>
      <w:r>
        <w:rPr>
          <w:rFonts w:ascii="David" w:hAnsi="David"/>
          <w:color w:val="000000"/>
          <w:rtl/>
        </w:rPr>
        <w:t>, פ"ד לג(3) 295, 298 (1979); גבריאלה שלו ואפי צמח, "דיני חוזים", עמ' 572-570 (מהדורה רביעית, 2019). להלן: "</w:t>
      </w:r>
      <w:r>
        <w:rPr>
          <w:rFonts w:ascii="David" w:hAnsi="David"/>
          <w:b/>
          <w:bCs/>
          <w:color w:val="000000"/>
          <w:rtl/>
        </w:rPr>
        <w:t>שלו וצמח</w:t>
      </w:r>
      <w:r>
        <w:rPr>
          <w:rFonts w:ascii="David" w:hAnsi="David"/>
          <w:color w:val="000000"/>
          <w:rtl/>
        </w:rPr>
        <w:t xml:space="preserve">"; </w:t>
      </w:r>
      <w:r>
        <w:rPr>
          <w:rFonts w:ascii="David" w:hAnsi="David"/>
          <w:color w:val="000000"/>
          <w:rtl/>
        </w:rPr>
        <w:lastRenderedPageBreak/>
        <w:t>לדעה הפוכה, ראו: סיני דויטש, "גבריאלה שלו: תוכן החוזה", עיוני משפט, כרך טו, עמ' 400-399, התש"ן).</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בין אם מכוח דוקטרינה זו או אחרת, אין מחלוקת כי לבית המשפט נתונה הסמכות להשלים פרטים בחוזה במקרים בהם לא ניתן להתחקות אחר אומד דעתם של הצדדים על פי לשון החוזה ונסיבותיו. באת כוח המערער טענה כי ה"תצהיר" כפוף להוראת </w:t>
      </w:r>
      <w:r>
        <w:rPr>
          <w:rFonts w:ascii="David" w:hAnsi="David"/>
          <w:color w:val="000000"/>
          <w:u w:val="single"/>
          <w:rtl/>
        </w:rPr>
        <w:t>סעיף 25 לחוק החוזים (חלק כללי)</w:t>
      </w:r>
      <w:r>
        <w:rPr>
          <w:rFonts w:ascii="David" w:hAnsi="David"/>
          <w:color w:val="000000"/>
          <w:rtl/>
        </w:rPr>
        <w:t>, התשל"ג-1973 (עמ' 18 לסיכומיה בערעור, שו' 35-33).</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u w:val="single"/>
          <w:rtl/>
        </w:rPr>
        <w:t>סעיף 25</w:t>
      </w:r>
      <w:r>
        <w:rPr>
          <w:rFonts w:ascii="David" w:hAnsi="David"/>
          <w:color w:val="000000"/>
          <w:rtl/>
        </w:rPr>
        <w:t xml:space="preserve"> </w:t>
      </w:r>
      <w:r>
        <w:rPr>
          <w:rFonts w:ascii="David" w:hAnsi="David"/>
          <w:color w:val="000000"/>
          <w:u w:val="single"/>
          <w:rtl/>
        </w:rPr>
        <w:t>לחוק החוזים</w:t>
      </w:r>
      <w:r>
        <w:rPr>
          <w:rFonts w:ascii="David" w:hAnsi="David"/>
          <w:color w:val="000000"/>
          <w:rtl/>
        </w:rPr>
        <w:t xml:space="preserve"> דן כאמור בפירושו של חוזה, ואילו </w:t>
      </w:r>
      <w:r>
        <w:rPr>
          <w:rFonts w:ascii="David" w:hAnsi="David"/>
          <w:color w:val="000000"/>
          <w:u w:val="single"/>
          <w:rtl/>
        </w:rPr>
        <w:t>סעיף 26 לחוק</w:t>
      </w:r>
      <w:r>
        <w:rPr>
          <w:rFonts w:ascii="David" w:hAnsi="David"/>
          <w:color w:val="000000"/>
          <w:rtl/>
        </w:rPr>
        <w:t xml:space="preserve"> דן בהשלמת פרטים שלא נקבעו בחוזה. פרשנות חוזה נועדה לחשוף את כוונת הצדדים מתוך החוזה ומנסיבות העניין, ואילו השלמת פרטים נדרשת מקום בו ביהמ"ש מגיע לכלל מסקנה כי "</w:t>
      </w:r>
      <w:r>
        <w:rPr>
          <w:rFonts w:ascii="David" w:hAnsi="David"/>
          <w:b/>
          <w:bCs/>
          <w:color w:val="000000"/>
          <w:u w:val="single"/>
          <w:rtl/>
        </w:rPr>
        <w:t>בעניין מסוים לא גיבשו הצדדים רצון משותף ולא הסכימו לגביו - במודע או שלא במודע</w:t>
      </w:r>
      <w:r>
        <w:rPr>
          <w:rFonts w:ascii="David" w:hAnsi="David"/>
          <w:b/>
          <w:bCs/>
          <w:color w:val="000000"/>
          <w:rtl/>
        </w:rPr>
        <w:t xml:space="preserve">" (שלו וצמח, עמ' 487)... עם זאת אין לראות בהשלמה פעולה המנוגדת לחלוטין לרצון הצדדים. </w:t>
      </w:r>
      <w:r>
        <w:rPr>
          <w:rFonts w:ascii="David" w:hAnsi="David"/>
          <w:b/>
          <w:bCs/>
          <w:color w:val="000000"/>
          <w:u w:val="single"/>
          <w:rtl/>
        </w:rPr>
        <w:t>ההשלמה עשויה לעלות בקנה אחד עם רצונם וכוונתם של הצדדים, משום שניתן לראותה כמשקפת את ההסדר שהצדדים היו מסכימים אילו נתנו דעתם לפרט החסר, או שהיו מצפים לו כצדדים סבירים, הוגנים ותמי לב</w:t>
      </w:r>
      <w:r>
        <w:rPr>
          <w:rFonts w:ascii="David" w:hAnsi="David"/>
          <w:b/>
          <w:bCs/>
          <w:color w:val="000000"/>
          <w:rtl/>
        </w:rPr>
        <w:t>. נוסף על כך גם הליך ההשלמה, ולא רק תוכנה, מושתת על הכרה בחשיבות רצון הצדדים</w:t>
      </w:r>
      <w:r>
        <w:rPr>
          <w:rFonts w:ascii="David" w:hAnsi="David"/>
          <w:color w:val="000000"/>
          <w:rtl/>
        </w:rPr>
        <w:t>...." (שם, שם).</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בענייננו. סבורני כי הוכח בבירור שהצדדים לא העלו על דעתם במועד החתימה על ה"תצהיר" כי רחמה של המשיבה ייכרת ביום מן הימים. בנסיבות אלה, הם לא גיבשו רצון משותף מה יהא אילו רחמה של המשיבה ייכרת. משכך, אנו נדרשים למעגלי ההשלמה שנקבעו </w:t>
      </w:r>
      <w:r>
        <w:rPr>
          <w:rFonts w:ascii="David" w:hAnsi="David"/>
          <w:color w:val="000000"/>
          <w:u w:val="single"/>
          <w:rtl/>
        </w:rPr>
        <w:t>בסעיף 26</w:t>
      </w:r>
      <w:r>
        <w:rPr>
          <w:rFonts w:ascii="David" w:hAnsi="David"/>
          <w:color w:val="000000"/>
          <w:rtl/>
        </w:rPr>
        <w:t xml:space="preserve"> </w:t>
      </w:r>
      <w:r>
        <w:rPr>
          <w:rFonts w:ascii="David" w:hAnsi="David"/>
          <w:color w:val="000000"/>
          <w:u w:val="single"/>
          <w:rtl/>
        </w:rPr>
        <w:t>לחוק החוזים</w:t>
      </w:r>
      <w:r>
        <w:rPr>
          <w:rFonts w:ascii="David" w:hAnsi="David"/>
          <w:color w:val="000000"/>
          <w:rtl/>
        </w:rPr>
        <w:t xml:space="preserve">. בהעדר נוהג פרטי שהתגבש בין הצדדים המסוימים ובהעדר נוהג כללי המקובל בחוזים מאותו סוג, ניתן לפנות למעגל הבא, הוראות ההשלמה החקיקתיות הדיספוזיטיביות. אם בכל אלה אין מענה, ניתן לפנות למעגל תום הלב, המגלם ערכי צדק, הגינות וסבירות (שלו וצמח, עמ' 490-487). </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אשר להוראות ההשלמה החקיקתיות הדיספוזיטיביות, כבר עמדתי על כך שבעמדתה המסכמת של היועמ"שית פורט כי חרף הוראות חוק הפונדקאות המחייב את הסכמת כלל הצדדים להסכם וחתימתם הפוזיטיבית על הסכם הפונדקאות בפני ועדת האישורים, בנסיבות העניין, בכפוף להכרעות בית המשפט, ניתן לאפשר למשיבה להסתייע בפונדקאות כ"אם מיועדת יחידה".</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היועמ"שית ציינה כאמור כי בהתאם להוראות חוק הפונדקאות, הזכאים להסתייע בהליך הפונדקאות הם "</w:t>
      </w:r>
      <w:r>
        <w:rPr>
          <w:rFonts w:ascii="David" w:hAnsi="David"/>
          <w:b/>
          <w:bCs/>
          <w:color w:val="000000"/>
          <w:rtl/>
        </w:rPr>
        <w:t>הורים מיועדים שהם בני זוג</w:t>
      </w:r>
      <w:r>
        <w:rPr>
          <w:rFonts w:ascii="David" w:hAnsi="David"/>
          <w:color w:val="000000"/>
          <w:rtl/>
        </w:rPr>
        <w:t>" וכן "</w:t>
      </w:r>
      <w:r>
        <w:rPr>
          <w:rFonts w:ascii="David" w:hAnsi="David"/>
          <w:b/>
          <w:bCs/>
          <w:color w:val="000000"/>
          <w:rtl/>
        </w:rPr>
        <w:t>אם מיועדת יחידה</w:t>
      </w:r>
      <w:r>
        <w:rPr>
          <w:rFonts w:ascii="David" w:hAnsi="David"/>
          <w:color w:val="000000"/>
          <w:rtl/>
        </w:rPr>
        <w:t xml:space="preserve">" (בבג"ץ 781/15 </w:t>
      </w:r>
      <w:r>
        <w:rPr>
          <w:rFonts w:ascii="David" w:hAnsi="David"/>
          <w:b/>
          <w:bCs/>
          <w:color w:val="000000"/>
          <w:u w:val="single"/>
          <w:rtl/>
        </w:rPr>
        <w:t>ארד פנקס נ' הוועדה לאישור הסכמים לנשיאת עוברים</w:t>
      </w:r>
      <w:r>
        <w:rPr>
          <w:rFonts w:ascii="David" w:hAnsi="David"/>
          <w:color w:val="000000"/>
          <w:rtl/>
        </w:rPr>
        <w:t xml:space="preserve"> (11.7.2021) הרחיב בית המשפט העליון את מעגל הזכאים לפונדקאות גם "לבני זוג הטרוסקסואליים, בני זוג מאותו מין, אישה יחידה וגבר יחיד").</w:t>
      </w:r>
    </w:p>
    <w:p w:rsidR="006D7615" w:rsidRDefault="006D7615" w:rsidP="006D7615">
      <w:pPr>
        <w:pStyle w:val="ad"/>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u w:val="single"/>
          <w:rtl/>
        </w:rPr>
        <w:t>בסעיף 2</w:t>
      </w:r>
      <w:r>
        <w:rPr>
          <w:rFonts w:ascii="David" w:hAnsi="David"/>
          <w:color w:val="000000"/>
          <w:rtl/>
        </w:rPr>
        <w:t xml:space="preserve"> </w:t>
      </w:r>
      <w:r>
        <w:rPr>
          <w:rFonts w:ascii="David" w:hAnsi="David"/>
          <w:color w:val="000000"/>
          <w:u w:val="single"/>
          <w:rtl/>
        </w:rPr>
        <w:t>לחוק הפונדקאות</w:t>
      </w:r>
      <w:r>
        <w:rPr>
          <w:rFonts w:ascii="David" w:hAnsi="David"/>
          <w:color w:val="000000"/>
          <w:rtl/>
        </w:rPr>
        <w:t xml:space="preserve"> נקבעו מספר תנאים לביצוע הפריה חוץ-גופית לשם השתלת ביצית באם נושאת, ואלו הן: ביצוע הפריה על פי הסכם לנשיאת עוברים שאישרה ועדת האישורים; הביצית אינה של האם הנושאת; הזרע המשמש להפריה הוא של האב המיועד, או בעניינה של אם מיועדת יחידה - הביצית שבה נעשה שימוש היא שלה; ההפריה החוץ-גופית והשתלת הביצית מבוצעות במחלקה מוכרת.</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u w:val="single"/>
          <w:rtl/>
        </w:rPr>
        <w:t>בסעיף 4</w:t>
      </w:r>
      <w:r>
        <w:rPr>
          <w:rFonts w:ascii="David" w:hAnsi="David"/>
          <w:color w:val="000000"/>
          <w:rtl/>
        </w:rPr>
        <w:t xml:space="preserve"> </w:t>
      </w:r>
      <w:r>
        <w:rPr>
          <w:rFonts w:ascii="David" w:hAnsi="David"/>
          <w:color w:val="000000"/>
          <w:u w:val="single"/>
          <w:rtl/>
        </w:rPr>
        <w:t>לחוק הפונדקאות</w:t>
      </w:r>
      <w:r>
        <w:rPr>
          <w:rFonts w:ascii="David" w:hAnsi="David"/>
          <w:color w:val="000000"/>
          <w:rtl/>
        </w:rPr>
        <w:t xml:space="preserve"> הוסדר הליך הגשת הבקשה לאישור הסכם בפני ועדת האישורים, </w:t>
      </w:r>
      <w:r>
        <w:rPr>
          <w:rFonts w:ascii="David" w:hAnsi="David"/>
          <w:color w:val="000000"/>
          <w:u w:val="single"/>
          <w:rtl/>
        </w:rPr>
        <w:t>ובסעיף 5</w:t>
      </w:r>
      <w:r>
        <w:rPr>
          <w:rFonts w:ascii="David" w:hAnsi="David"/>
          <w:color w:val="000000"/>
          <w:rtl/>
        </w:rPr>
        <w:t xml:space="preserve"> פורטו התנאים על פיהם תכריע ועדת האישורים האם לאשר את הבקשה. </w:t>
      </w:r>
      <w:r>
        <w:rPr>
          <w:rFonts w:ascii="David" w:hAnsi="David"/>
          <w:color w:val="000000"/>
          <w:u w:val="single"/>
          <w:rtl/>
        </w:rPr>
        <w:t>בסעיף 5(א)(1ז)</w:t>
      </w:r>
      <w:r>
        <w:rPr>
          <w:rFonts w:ascii="David" w:hAnsi="David"/>
          <w:color w:val="000000"/>
          <w:rtl/>
        </w:rPr>
        <w:t xml:space="preserve"> נקבע, בין יתר התנאים לאישור ההסכם, כי "</w:t>
      </w:r>
      <w:r>
        <w:rPr>
          <w:rFonts w:ascii="David" w:hAnsi="David"/>
          <w:b/>
          <w:bCs/>
          <w:color w:val="000000"/>
          <w:rtl/>
        </w:rPr>
        <w:t>כל הצדדים עשו את ההסכם לנשיאת עוברים בהסכמה ומרצון חופשי ובהבינם את משמעותו ותוצאותיו</w:t>
      </w:r>
      <w:r>
        <w:rPr>
          <w:rFonts w:ascii="David" w:hAnsi="David"/>
          <w:color w:val="000000"/>
          <w:rtl/>
        </w:rPr>
        <w:t xml:space="preserve">". </w:t>
      </w:r>
      <w:r>
        <w:rPr>
          <w:rFonts w:ascii="David" w:hAnsi="David"/>
          <w:color w:val="000000"/>
          <w:u w:val="single"/>
          <w:rtl/>
        </w:rPr>
        <w:t>בסעיף 5(ב)</w:t>
      </w:r>
      <w:r>
        <w:rPr>
          <w:rFonts w:ascii="David" w:hAnsi="David"/>
          <w:color w:val="000000"/>
          <w:rtl/>
        </w:rPr>
        <w:t xml:space="preserve"> נקבע עוד, "</w:t>
      </w:r>
      <w:r>
        <w:rPr>
          <w:rFonts w:ascii="David" w:hAnsi="David"/>
          <w:b/>
          <w:bCs/>
          <w:color w:val="000000"/>
          <w:rtl/>
        </w:rPr>
        <w:t>אישרה ועדת האישורים הסכם לנשיאת עוברים, יחתמו עליו הצדדים בפניה; כל שינוי בהסכם טעון אישור הוועדה</w:t>
      </w:r>
      <w:r>
        <w:rPr>
          <w:rFonts w:ascii="David" w:hAnsi="David"/>
          <w:color w:val="000000"/>
          <w:rtl/>
        </w:rPr>
        <w:t xml:space="preserve">". </w:t>
      </w:r>
      <w:r>
        <w:rPr>
          <w:rFonts w:ascii="David" w:hAnsi="David"/>
          <w:color w:val="000000"/>
          <w:u w:val="single"/>
          <w:rtl/>
        </w:rPr>
        <w:t>בסעיפים 12-11</w:t>
      </w:r>
      <w:r>
        <w:rPr>
          <w:rFonts w:ascii="David" w:hAnsi="David"/>
          <w:color w:val="000000"/>
          <w:rtl/>
        </w:rPr>
        <w:t xml:space="preserve"> </w:t>
      </w:r>
      <w:r>
        <w:rPr>
          <w:rFonts w:ascii="David" w:hAnsi="David"/>
          <w:color w:val="000000"/>
          <w:u w:val="single"/>
          <w:rtl/>
        </w:rPr>
        <w:t>לחוק</w:t>
      </w:r>
      <w:r>
        <w:rPr>
          <w:rFonts w:ascii="David" w:hAnsi="David"/>
          <w:color w:val="000000"/>
          <w:rtl/>
        </w:rPr>
        <w:t xml:space="preserve"> נכללו הוראות בדבר "צו הורות" שיינתן על ידי בית המשפט לענייני משפחה, אשר יקבע את בלעדיות ההורות של ההורים המיועדים וינתק סופית את הזיקה ההורית בין היילוד לבין האם הנושאת.</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היועמ"שית ציינה כי חוק הפונדקאות מחייב קבלת הסכמת כלל הצדדים להסכם וחתימתם על הסכם הפונדקאות בפני ועדת האישורים. נוכח המסגרת הנורמטיבית של חוק הפונדקאות, יש להכריע האם ניתן לאפשר למשיבה להתקשר בהסכם פונדקאות תחת אחת המסגרות המוכרות, דהיינו, האם ניתן לראות בה ובמערער "הורים מיועדים" כהגדרתם בחוק, ולחלופין, האם ניתן לראות במשיבה "אם מיועדת יחידה". </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אומנם המערער הסכים תחילה לביצוע ההפריה, אך מאחר שבעת הזו הוא מתנגד להיות "הורה מיועד" ולחתום על ההסכם בפני הוועדה לאישור הסכמים, קיים קושי לקבוע כי הוא והמשיבה הם "הורים מיועדים" כמובנם בחוק. אשר לשאלה האם ניתן להכיר במשיבה "אם מיועדת יחידה", נטען כי אף בהקשר זה קיימת מורכבות משפטית. זאת, מאחר שהיישום של מסלול האם המיועדת היחידה נעשה בדרך של תרומת זרע אנונימית </w:t>
      </w:r>
      <w:r>
        <w:rPr>
          <w:rFonts w:ascii="David" w:hAnsi="David"/>
          <w:color w:val="000000"/>
          <w:rtl/>
        </w:rPr>
        <w:lastRenderedPageBreak/>
        <w:t xml:space="preserve">בהתאם </w:t>
      </w:r>
      <w:r>
        <w:rPr>
          <w:rFonts w:ascii="David" w:hAnsi="David"/>
          <w:color w:val="000000"/>
          <w:u w:val="single"/>
          <w:rtl/>
        </w:rPr>
        <w:t>להוראות תקנות בריאות העם (הפריה חוץ גופית)</w:t>
      </w:r>
      <w:r>
        <w:rPr>
          <w:rFonts w:ascii="David" w:hAnsi="David"/>
          <w:color w:val="000000"/>
          <w:rtl/>
        </w:rPr>
        <w:t>, התשמ"ז-1987, ואילו בענייננו זהות בעל הזרע, המערער, ידועה. בהמשך לכך מתעוררת השאלה האם חוק הפונדקאות מאפשר לאישה להסתייע באם נושאת במסלול של "אם מיועדת יחידה" בנסיבות כבענייננו, בהן הביצית היא של המשיבה אך זהות בעל הזרע ידועה וזה אינו מוכן להיות "הורה מיועד" ולחתום על הסכם פונדקאות. מאליו מובן כי הכרה במשיבה כ"אם מיועדת יחידה" מקום בו בעל הזרע ידוע, מעוררת קושי נוסף הקשור לתפיסת האחריות ההורית ולכך שהורה אינו יכול לוותר על הורותו ועל אחריותו ההורית.</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eastAsiaTheme="minorHAnsi" w:hAnsi="David"/>
          <w:rtl/>
        </w:rPr>
      </w:pPr>
      <w:r>
        <w:rPr>
          <w:rFonts w:ascii="David" w:hAnsi="David"/>
          <w:color w:val="000000"/>
          <w:rtl/>
        </w:rPr>
        <w:t>חרף הקשיים האמורים,</w:t>
      </w:r>
      <w:r>
        <w:rPr>
          <w:rFonts w:ascii="David" w:hAnsi="David"/>
          <w:rtl/>
        </w:rPr>
        <w:t xml:space="preserve"> ציינה היועמ"שית כי בכפוף להכרעת בית המשפט בשאלות העובדתיות והחוזיות, ניתן לראות במשיבה "</w:t>
      </w:r>
      <w:r>
        <w:rPr>
          <w:rFonts w:ascii="David" w:hAnsi="David"/>
          <w:b/>
          <w:bCs/>
          <w:rtl/>
        </w:rPr>
        <w:t>אם מיועדת יחידה</w:t>
      </w:r>
      <w:r>
        <w:rPr>
          <w:rFonts w:ascii="David" w:hAnsi="David"/>
          <w:rtl/>
        </w:rPr>
        <w:t>" כהגדרתה בחוק הפונדקאות, ולאפשר לה לעשות שימוש בביציות המופרות בהתאם למתווה המשפטי כדלהלן: המשיבה תחתום על הסכם פונדקאות כ"אם מיועדת יחידה" ובאמצעות צו ההורות שיינתן לאחר הלידה, ינותקו הזיקות, הן של האם הנושאת בהיותה היולדת והן של בעל הזרע, המערער. בהמשך לכך תיקבע בלעדיות ההורות של המשיבה. היועמ"שית הדגישה כי אישור מתווה זה נעוץ בנסיבות הקונקרטיות המייחדות ענייננו, לאור העובדה שהמערער נתן הסכמתו להפריית ביציות המשיבה מזרעו; מדובר בביציותיה היחידות של המשיבה ואין באפשרותה להפיק ביציות נוספות ולהפוך אם ביולוגית אלא אם הביציות המופרות יוחדרו לרחמה של אם נושאת. עם זאת. צוין כי אף אם בית המשפט יאפשר את השימוש בביציות המופרות, יהיה הכרח להביא העניין בפני הוועדה שתדון באפשרות לאשר את הסכם הפונדקאות.</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היועמ"שית טענה כי מאחר שביציותיה של המשיבה, אשר אותה עת הייתה בת זוגו של המערער, הופרו מזרעו, בהסכמתו, אלא שכיום הוא מסרב לקחת חלק בהליך הפונדקאות ואינו מסכים לשמש "הורה מיועד" עם המשיבה, כך שלא ניתן להגדירו תורם זרע אנונימי, מוצע לחלק את הליך הפונדקאות לשלושה שלבים ולבחון את התקיימות התנאים שבחוק ביחס לכל אחד מהם בנפרד, בנקודת הזמן הרלוונטית באותו שלב.</w:t>
      </w:r>
    </w:p>
    <w:p w:rsidR="006D7615" w:rsidRDefault="006D7615" w:rsidP="006D7615">
      <w:pPr>
        <w:shd w:val="clear" w:color="auto" w:fill="FFFFFF"/>
        <w:spacing w:after="80" w:line="360" w:lineRule="auto"/>
        <w:ind w:left="720"/>
        <w:jc w:val="both"/>
        <w:rPr>
          <w:rFonts w:ascii="David" w:hAnsi="David"/>
          <w:color w:val="000000"/>
          <w:rtl/>
        </w:rPr>
      </w:pPr>
      <w:r>
        <w:rPr>
          <w:rFonts w:ascii="David" w:hAnsi="David"/>
          <w:color w:val="000000"/>
          <w:rtl/>
        </w:rPr>
        <w:t xml:space="preserve">שלב ראשון - שלב ההפריה. בשעתו, הצדדים היו בני זוג שמסרו את החומר הגנטי שלהם במטרה להיות הורים משותפים לילדים שייוולדו כתוצאה מההליך. הקביעה כי הצדדים הסכימו לתת את החומר הגנטי שלהם במטרה להיות הורים לילד שייוולד, כפופה להכרעת בית המשפט כי בעת הפריית הביציות המערער הסכים לתת את זרעו מתוך כוונה לשמש כהורה לילד שייוולד, אחרת - מדובר בתרומת זרע מתורם ידוע. עוד נדרש לקבוע כי מלכתחילה המערער נתן הסכמתו לכך שהמשיבה תהרה מזרעו, ולמצער היה אדיש לשאלה האם ההליך יכול להתבצע באמצעות פונדקאות, וכי הסכמתו נמשכה גם בשלב שבו הופרו כלל הביציות שנשאבו מרחמה של המשיבה. זאת, עת המערער היה מודע לכך שהפריית </w:t>
      </w:r>
      <w:r>
        <w:rPr>
          <w:rFonts w:ascii="David" w:hAnsi="David"/>
          <w:color w:val="000000"/>
          <w:rtl/>
        </w:rPr>
        <w:lastRenderedPageBreak/>
        <w:t>כלל הביציות בזרעו משמעותה כי המשיבה לא תוכל עוד לעשות שימוש בביציות שלה להפרייתן עם זרע של אדם אחר.</w:t>
      </w:r>
    </w:p>
    <w:p w:rsidR="006D7615" w:rsidRDefault="006D7615" w:rsidP="006D7615">
      <w:pPr>
        <w:shd w:val="clear" w:color="auto" w:fill="FFFFFF"/>
        <w:spacing w:after="80" w:line="360" w:lineRule="auto"/>
        <w:ind w:left="720"/>
        <w:jc w:val="both"/>
        <w:rPr>
          <w:rFonts w:ascii="David" w:hAnsi="David"/>
          <w:color w:val="000000"/>
          <w:rtl/>
        </w:rPr>
      </w:pPr>
    </w:p>
    <w:p w:rsidR="006D7615" w:rsidRDefault="006D7615" w:rsidP="006D7615">
      <w:pPr>
        <w:shd w:val="clear" w:color="auto" w:fill="FFFFFF"/>
        <w:spacing w:after="80" w:line="360" w:lineRule="auto"/>
        <w:ind w:left="720"/>
        <w:jc w:val="both"/>
        <w:rPr>
          <w:rFonts w:ascii="David" w:hAnsi="David"/>
          <w:color w:val="000000"/>
          <w:rtl/>
        </w:rPr>
      </w:pPr>
      <w:r>
        <w:rPr>
          <w:rFonts w:ascii="David" w:hAnsi="David"/>
          <w:color w:val="000000"/>
          <w:rtl/>
        </w:rPr>
        <w:t>שלב שני - שלב החתימה על הסכם הפונדקאות. בשלב זה הצדדים כבר אינם בני זוג, והמערער אינו מעוניין ליטול חלק בהליך הפונדקאות ולשמש הורה מיועד לילד שייוולד. לפיכך, הוצע לראות במשיבה כ"אם מיועדת יחידה" המבקשת לעשות שימוש בביציות המופרות שלה באמצעות אם נושאת. לפיכך, המערער לא יידרש לחתום על הסכם הפונדקאות בפני ועדת האישורים. עם זאת. מאחר שמקורו של הזרע ידוע, העניין יובא לידיעת הוועדה ולידיעת האם הנושאת במסגרת ההסכם.</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shd w:val="clear" w:color="auto" w:fill="FFFFFF"/>
        <w:spacing w:after="80" w:line="360" w:lineRule="auto"/>
        <w:ind w:left="720"/>
        <w:jc w:val="both"/>
        <w:rPr>
          <w:rFonts w:ascii="David" w:hAnsi="David"/>
          <w:color w:val="000000"/>
          <w:rtl/>
        </w:rPr>
      </w:pPr>
      <w:r>
        <w:rPr>
          <w:rFonts w:ascii="David" w:hAnsi="David"/>
          <w:color w:val="000000"/>
          <w:rtl/>
        </w:rPr>
        <w:t>שלב שלישי - השלב שלאחר הלידה. לאחר הלידה יידרש צו הורות על מנת לנתק את הקשר ההורי בין היילוד לבין האם הנושאת ולקבוע את בלעדיות ההורות של ההורים המיועדים. מאחר שהמערער לא יהיה חתום על הסכם הפונדקאות כ"הורה מיועד" ולא יהיה מעוניין לשמש כהורה לילד שייוולד, הוצע כי צו ההורות יינתן רק ביחס למשיבה. כך ינותק הקשר ההורי הן ביחס לאם היולדת והן ביחס למערער, בעל הזרע.</w:t>
      </w:r>
    </w:p>
    <w:p w:rsidR="006D7615" w:rsidRDefault="006D7615" w:rsidP="006D7615">
      <w:pPr>
        <w:shd w:val="clear" w:color="auto" w:fill="FFFFFF"/>
        <w:spacing w:after="80" w:line="360" w:lineRule="auto"/>
        <w:ind w:left="720"/>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היועמ"שית ציינה כי מתווה זה מעלה אומנם קושי הנוגע לתפיסת האחריות ההורית, כמו גם בעניין זכותו של היילוד להכיר את אביו מולידו. ואולם, בנסיבותיו הייחודיות של המקרה דנא, ובפרט לאור העובדה כי זהו הסיכוי היחיד של המשיבה להביא ילד לעולם, מתווה זה אפשרי מבחינת הוראות החוק, בכפוף להכרעות העובדתיות כאמור.</w:t>
      </w:r>
    </w:p>
    <w:p w:rsidR="006D7615" w:rsidRDefault="006D7615" w:rsidP="006D7615">
      <w:pPr>
        <w:pStyle w:val="ad"/>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לא הארכתי בפירוט עמדתה של היועמ"שית, אלא כדי לבאר כי אימוץ עמדת היועמ"שית על ידי בית משפט קמא, אשר אף אני שותף לה, מאפשר השלמה חקיקתית דיספוזיטיבית לפי הוראת סעיף 26 לחוק החוזים, כך שניתן לקרוא מסקנה לפיה מאחר שבמועד חתימת ה"תצהיר" הצדדים לא גיבשו רצון משותף מה יהא אילו ייכרת רחמה של המשיבה, ניתן להשלים זאת באמצעות המתווה החוקי שהוצע על ידי היועמ"שית.  </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 xml:space="preserve">למסקנה דומה ניתן להגיע אף על דרך השלמה באמצעות מעגל תום הלב המעוגן בסעיף 39 לחוק החוזים. בפסיקה נקבע שבכוחו של עיקרון תום הלב להשלים חסר בחוזה (ע"א 4628/93 </w:t>
      </w:r>
      <w:r>
        <w:rPr>
          <w:rFonts w:ascii="David" w:hAnsi="David"/>
          <w:b/>
          <w:bCs/>
          <w:color w:val="000000"/>
          <w:u w:val="single"/>
          <w:rtl/>
        </w:rPr>
        <w:t>מדינת ישראל נ' אפרופים שיכון וייזום (1991) בע"מ</w:t>
      </w:r>
      <w:r>
        <w:rPr>
          <w:rFonts w:ascii="David" w:hAnsi="David"/>
          <w:color w:val="000000"/>
          <w:rtl/>
        </w:rPr>
        <w:t xml:space="preserve">, פ"ד מט(2) 265, 327 (1995); ע"א 479/89 </w:t>
      </w:r>
      <w:r>
        <w:rPr>
          <w:rFonts w:ascii="David" w:hAnsi="David"/>
          <w:b/>
          <w:bCs/>
          <w:color w:val="000000"/>
          <w:u w:val="single"/>
          <w:rtl/>
        </w:rPr>
        <w:t>ד"ר אנבא בזילאוס המוטראן הקופטי נ' חלמיש חברה ממשלתית עירונית לשיקום הדיור בתל אביב יפו בע"מ</w:t>
      </w:r>
      <w:r>
        <w:rPr>
          <w:rFonts w:ascii="David" w:hAnsi="David"/>
          <w:color w:val="000000"/>
          <w:rtl/>
        </w:rPr>
        <w:t xml:space="preserve">, פ"ד מו(3) 837, 845 (1992); שלו וצמח, שם, </w:t>
      </w:r>
      <w:r>
        <w:rPr>
          <w:rFonts w:ascii="David" w:hAnsi="David"/>
          <w:color w:val="000000"/>
          <w:rtl/>
        </w:rPr>
        <w:lastRenderedPageBreak/>
        <w:t xml:space="preserve">עמ' 528, 559-558). הרציונל ברור: עיקרון תום הלב פורש מצודתו על כלל ענפי המשפט (ע"א 700/81 </w:t>
      </w:r>
      <w:r>
        <w:rPr>
          <w:rFonts w:ascii="David" w:hAnsi="David"/>
          <w:b/>
          <w:bCs/>
          <w:color w:val="000000"/>
          <w:u w:val="single"/>
          <w:rtl/>
        </w:rPr>
        <w:t>מיכל פז נ' אליהו פז</w:t>
      </w:r>
      <w:r>
        <w:rPr>
          <w:rFonts w:ascii="David" w:hAnsi="David"/>
          <w:color w:val="000000"/>
          <w:rtl/>
        </w:rPr>
        <w:t xml:space="preserve">, פ"ד לח(2) 736, 742 (1984). הוא קובע אמת מידה אובייקטיבית של התנהגות ראויה במכלול היחסים הבין-אישיים. בכלל זאת, נדרשים צדדים לחוזה להפעיל את זכותם ביושר ובהגינות. אין ציפייה כי אדם יתעלם מהאינטרס העצמי שלו, אלא אך כי בד בבד לא יתעלם מקיומו של הצד האחר (ע"א 148/77 </w:t>
      </w:r>
      <w:r>
        <w:rPr>
          <w:rFonts w:ascii="David" w:hAnsi="David"/>
          <w:b/>
          <w:bCs/>
          <w:color w:val="000000"/>
          <w:u w:val="single"/>
          <w:rtl/>
        </w:rPr>
        <w:t>שאול רוט נ' ישופה (בניה) בע"מ</w:t>
      </w:r>
      <w:r>
        <w:rPr>
          <w:rFonts w:ascii="David" w:hAnsi="David"/>
          <w:color w:val="000000"/>
          <w:rtl/>
        </w:rPr>
        <w:t xml:space="preserve">, פ"ד לג(1) 617, 635 (1979); רע"א 6339/97 </w:t>
      </w:r>
      <w:r>
        <w:rPr>
          <w:rFonts w:ascii="David" w:hAnsi="David"/>
          <w:b/>
          <w:bCs/>
          <w:color w:val="000000"/>
          <w:u w:val="single"/>
          <w:rtl/>
        </w:rPr>
        <w:t>רוקר נ' סלומון</w:t>
      </w:r>
      <w:r>
        <w:rPr>
          <w:rFonts w:ascii="David" w:hAnsi="David"/>
          <w:color w:val="000000"/>
          <w:rtl/>
        </w:rPr>
        <w:t>, פ"ד נה(1) 199, 279 (1999).</w:t>
      </w:r>
    </w:p>
    <w:p w:rsidR="006D7615" w:rsidRDefault="006D7615" w:rsidP="006D7615">
      <w:pPr>
        <w:pStyle w:val="ad"/>
        <w:rPr>
          <w:rFonts w:ascii="David" w:hAnsi="David"/>
          <w:color w:val="000000"/>
        </w:rPr>
      </w:pPr>
    </w:p>
    <w:p w:rsidR="006D7615" w:rsidRDefault="006D7615" w:rsidP="006D7615">
      <w:pPr>
        <w:pStyle w:val="ad"/>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יישום עיקרון תום הלב לענייננו, מלמד כי זכותה של המשיבה להחדרת הביציות המופרות לרחמה של אם נושאת, עדיפה. במהלך מתואם, משותף ומוסכם שלוש ביציותיה היחידות של המשיבה הופרו מזרעו של המערער. כפי שיבואר להלן, לכל אורך הדרך, מלפני ההפריה והמשך בחודשים הארוכים הרבים לאחר מכן עד לכריתת רחמה, המערער לא שיתף את המשיבה בלבטיו באשר להתערערות הקשר ביניהם, כטענתו, תוך שגרם לה להסתמך על מצגיו. מתוך שכך, שונה מצבה של המשיבה לרעה, שכן, היא נסמכה כאמור על מצגיו והפרתה את ביציותיה מזרעו בלבד, בלא שנותרו לה ביציות אחרות. הדרך היחידה שנותרה למשיבה לממש ערגתה לפרי בטן ממטענה הגנטי, היא באמצעות החדרת ביציות מופרות אלה לרחמה של אם נושאת. לטעמי, עיקרון תום הלב המגלם בקרבו ערכי צדק, הגינות וסבירות, משמש אף הוא מסד מצטבר להשלמת החסר בהוראת סעיף 3 ל"תצהיר".</w:t>
      </w:r>
    </w:p>
    <w:p w:rsidR="006D7615" w:rsidRDefault="006D7615" w:rsidP="006D7615">
      <w:pPr>
        <w:pStyle w:val="ad"/>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eastAsiaTheme="minorHAnsi" w:hAnsi="David"/>
          <w:rtl/>
        </w:rPr>
      </w:pPr>
      <w:r>
        <w:rPr>
          <w:rFonts w:ascii="David" w:hAnsi="David"/>
          <w:rtl/>
        </w:rPr>
        <w:t xml:space="preserve">הנה כי כן. במועד חתימת ה"תצהיר", המערער היה אדיש לשאלה האם הביציות המופרות יוחזרו לרחמה של המשיבה או לרחמה של אם נושאת. אומנם, ניתן היה לומר כי הצדדים נתפסים על נוסח ה"תצהיר" עליו חתמו, במתכונתו. ואולם, לבד מאשר פורט לעיל, סבורני כי מאחר שהצדדים לא חשבו אותה עת על אפשרות כי רחמה של המשיבה ייכרת, ולא נתנו דעתם לשאלה מה תהא עמדתם אילו כך יהא, מנגנון ההשלמה, להבדיל מפרשנות ה"תצהיר", מוביל למסקנה כי אילו היו נותנים לכך דעתם היו באים לכלל הסכמה להחזרת הביציות המופרות לרחמה של אם נושאת.  </w:t>
      </w:r>
    </w:p>
    <w:p w:rsidR="006D7615" w:rsidRDefault="006D7615" w:rsidP="006D7615">
      <w:pPr>
        <w:spacing w:line="360" w:lineRule="auto"/>
        <w:jc w:val="both"/>
        <w:rPr>
          <w:rFonts w:ascii="David" w:hAnsi="David"/>
        </w:rPr>
      </w:pPr>
    </w:p>
    <w:p w:rsidR="006D7615" w:rsidRDefault="006D7615" w:rsidP="006D7615">
      <w:pPr>
        <w:spacing w:line="360" w:lineRule="auto"/>
        <w:jc w:val="both"/>
        <w:rPr>
          <w:rFonts w:ascii="David" w:hAnsi="David"/>
          <w:b/>
          <w:bCs/>
          <w:u w:val="single"/>
          <w:rtl/>
        </w:rPr>
      </w:pPr>
      <w:r>
        <w:rPr>
          <w:rFonts w:ascii="David" w:hAnsi="David"/>
          <w:b/>
          <w:bCs/>
          <w:u w:val="single"/>
          <w:rtl/>
        </w:rPr>
        <w:t>טענתו השנייה של המערער - הסכמתו נדרשת עד שלב החדרת הביצית המופרית לרחם</w:t>
      </w:r>
    </w:p>
    <w:p w:rsidR="006D7615" w:rsidRDefault="006D7615" w:rsidP="006D7615">
      <w:pPr>
        <w:spacing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טענתו האחרת של המערער, והיא עיקר לאחר שמצאתי לדחות טענתו הראשונה כי לא ניתן להחזיר העוברים המופרים לרחמה של אם נושאת, היא כי לאור הסכמות הצדדים ב"תצהיר" והדין הנוהג, קנויה בידו זכות לחזור בו עד למועד החדרת הביציות לרחמה של המשיבה (או לרחמה של האם הנושאת, לאחר שכאמור טענתו הראשונה נדחתה).</w:t>
      </w:r>
    </w:p>
    <w:p w:rsidR="006D7615" w:rsidRDefault="006D7615" w:rsidP="006D7615">
      <w:pPr>
        <w:pStyle w:val="ad"/>
        <w:shd w:val="clear" w:color="auto" w:fill="FFFFFF"/>
        <w:spacing w:after="80" w:line="360" w:lineRule="auto"/>
        <w:jc w:val="both"/>
        <w:rPr>
          <w:rFonts w:ascii="David" w:hAnsi="David"/>
          <w:rtl/>
        </w:rPr>
      </w:pPr>
    </w:p>
    <w:p w:rsidR="006D7615" w:rsidRDefault="006D7615" w:rsidP="006D7615">
      <w:pPr>
        <w:pStyle w:val="ad"/>
        <w:numPr>
          <w:ilvl w:val="0"/>
          <w:numId w:val="3"/>
        </w:numPr>
        <w:shd w:val="clear" w:color="auto" w:fill="FFFFFF"/>
        <w:spacing w:after="80" w:line="360" w:lineRule="auto"/>
        <w:jc w:val="both"/>
        <w:rPr>
          <w:rFonts w:ascii="David" w:hAnsi="David"/>
          <w:rtl/>
        </w:rPr>
      </w:pPr>
      <w:r>
        <w:rPr>
          <w:rFonts w:ascii="David" w:hAnsi="David"/>
          <w:rtl/>
        </w:rPr>
        <w:t>לטענת המערער, ביום 12.11.2015 הגיע עם המשיבה לפגישה אצל פרופ' אליהו לויטס, מומחה לטיפולי פוריות במרכז הרפואי 'סורוקה', ובמהלך הפגישה הובהרו להם מספר היבטים, "</w:t>
      </w:r>
      <w:r>
        <w:rPr>
          <w:rFonts w:ascii="David" w:hAnsi="David"/>
          <w:b/>
          <w:bCs/>
          <w:rtl/>
        </w:rPr>
        <w:t>החשוב שבהם מבחינתי היה האפשרות שלי לחזור בי מהסכמתי למימוש העוברים שייווצרו, לפני החדרה לרחמה של ח'. אני שאלתי במפורש את מנהל המחלקה לפוריות, אותו רופא שקיבל אותנו והסביר לנו את התהליך, האם אוכל לחזור בי מההחלטה למסור את זרעי. תשובת הרופא הייתה חד משמעית כן. הובהר לח' ולי כי כל פעולה שתבצעו מעתה והלאה מחייבת הסכמה של שניכם, עד שלב החדרת הביצית לרחמה של ח', שזהו השלב ממנו אין עוד חזרה</w:t>
      </w:r>
      <w:r>
        <w:rPr>
          <w:rFonts w:ascii="David" w:hAnsi="David"/>
          <w:rtl/>
        </w:rPr>
        <w:t xml:space="preserve">" (סעיף 5 לתצהיר עדותו </w:t>
      </w:r>
      <w:r>
        <w:rPr>
          <w:rFonts w:ascii="David" w:hAnsi="David"/>
          <w:color w:val="000000"/>
          <w:rtl/>
        </w:rPr>
        <w:t>הראשית</w:t>
      </w:r>
      <w:r>
        <w:rPr>
          <w:rFonts w:ascii="David" w:hAnsi="David"/>
          <w:rtl/>
        </w:rPr>
        <w:t>).</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rPr>
      </w:pPr>
      <w:r>
        <w:rPr>
          <w:rFonts w:ascii="David" w:hAnsi="David"/>
          <w:rtl/>
        </w:rPr>
        <w:t>המערער טען כי ההסבר שקיבל מפרופ' לויטס תואם את האמור בסעיף 4 ל"תצהיר" עליו חתמו הצדדים, במסגרתו נקבע: "</w:t>
      </w:r>
      <w:r>
        <w:rPr>
          <w:rFonts w:ascii="David" w:hAnsi="David"/>
          <w:b/>
          <w:bCs/>
          <w:rtl/>
        </w:rPr>
        <w:t>הננו מצהירים כי ידוע לנו שלאחר הצלחת ההפריה והחדרת העוברים שייווצרו לרחמה של האישה, לא ניתן יהא לבטל הסכם זה ו/או לסגת ממנו באורח חד צדדי על ידי אחד מאתנו, על כל החובות ההדדיות והחוקיות הנובעות ממנו</w:t>
      </w:r>
      <w:r>
        <w:rPr>
          <w:rFonts w:ascii="David" w:hAnsi="David"/>
          <w:rtl/>
        </w:rPr>
        <w:t xml:space="preserve">". לדבריו, ניתן ללמוד מכך כי עד </w:t>
      </w:r>
      <w:r>
        <w:rPr>
          <w:rFonts w:ascii="David" w:hAnsi="David"/>
          <w:color w:val="000000"/>
          <w:rtl/>
        </w:rPr>
        <w:t>לרגע</w:t>
      </w:r>
      <w:r>
        <w:rPr>
          <w:rFonts w:ascii="David" w:hAnsi="David"/>
          <w:rtl/>
        </w:rPr>
        <w:t xml:space="preserve"> החדרת הביציות לרחמה של המשיבה, כל אחד מהצדדים רשאי לחזור בו מהסכמתו המוקדמת לשימוש בביציות המופרות.</w:t>
      </w:r>
    </w:p>
    <w:p w:rsidR="006D7615" w:rsidRDefault="006D7615" w:rsidP="006D7615">
      <w:pPr>
        <w:pStyle w:val="ad"/>
        <w:rPr>
          <w:rFonts w:ascii="David" w:hAnsi="David"/>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rtl/>
        </w:rPr>
        <w:t>בחקירתו</w:t>
      </w:r>
      <w:r>
        <w:rPr>
          <w:rFonts w:ascii="David" w:hAnsi="David"/>
          <w:color w:val="000000"/>
          <w:rtl/>
        </w:rPr>
        <w:t xml:space="preserve"> בדיון שנערך לפנינו, ציין פרופ' לויטס כי אינו זוכר את הצדדים בתיק דנא (עמ' 7 לפרו' שו' 29-25). פרופ' לויטס הוסיף שככלל, הוא מסביר לזוגות הבאים בפניו כי בכוחם להקפיא ביציות בלבד או ביציות מופרות מזרעו של הגבר, תוך מתן הסבר נלווה ביחס ליתרונות ולחסרונות של כל שיטה (שם, עמ' 8 שו' 20-16). בתוך כך, הוא מבהיר כי לעובר אחוזי שרידות גבוהים יותר מאשר ביציות מוקפאות (שם, עמ' 10 שו' 20-18). עם זאת, להבנתו, "</w:t>
      </w:r>
      <w:r>
        <w:rPr>
          <w:rFonts w:ascii="David" w:hAnsi="David"/>
          <w:b/>
          <w:bCs/>
          <w:color w:val="000000"/>
          <w:rtl/>
        </w:rPr>
        <w:t>מי שנכנס אליי לחדר כזוג, יש לו איזו כוונה</w:t>
      </w:r>
      <w:r>
        <w:rPr>
          <w:rFonts w:ascii="David" w:hAnsi="David"/>
          <w:color w:val="000000"/>
          <w:rtl/>
        </w:rPr>
        <w:t>" (שם, עמ' 8 שו' 29), וכי "</w:t>
      </w:r>
      <w:r>
        <w:rPr>
          <w:rFonts w:ascii="David" w:hAnsi="David"/>
          <w:b/>
          <w:bCs/>
          <w:color w:val="000000"/>
          <w:rtl/>
        </w:rPr>
        <w:t>כשהם באים ביחד, זו הצהרה שהם רוצים את זה ביחד</w:t>
      </w:r>
      <w:r>
        <w:rPr>
          <w:rFonts w:ascii="David" w:hAnsi="David"/>
          <w:color w:val="000000"/>
          <w:rtl/>
        </w:rPr>
        <w:t>" (שם, עמ' 10 שו' 16).</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פרופ' לויטס לא זכר על מה שוחח עם הצדדים (שם, עמ' 10 שו' 2), ובכל מקרה, לשאלת בית </w:t>
      </w:r>
      <w:r>
        <w:rPr>
          <w:rFonts w:ascii="David" w:hAnsi="David"/>
          <w:rtl/>
        </w:rPr>
        <w:t>המשפט</w:t>
      </w:r>
      <w:r>
        <w:rPr>
          <w:rFonts w:ascii="David" w:hAnsi="David"/>
          <w:color w:val="000000"/>
          <w:rtl/>
        </w:rPr>
        <w:t>, השיב כי "</w:t>
      </w:r>
      <w:r>
        <w:rPr>
          <w:rFonts w:ascii="David" w:hAnsi="David"/>
          <w:b/>
          <w:bCs/>
          <w:color w:val="000000"/>
          <w:rtl/>
        </w:rPr>
        <w:t>מאוד נדיר שביקשו ממני להתייחס לסעיף בטופס</w:t>
      </w:r>
      <w:r>
        <w:rPr>
          <w:rFonts w:ascii="David" w:hAnsi="David"/>
          <w:color w:val="000000"/>
          <w:rtl/>
        </w:rPr>
        <w:t>" (שם, עמ' 11 שו' 7). במענה לשאלה האם הבהיר לצדדים כי נדרשת הסכמת שני בני הזוג עד שלב ההחדרה לרחם, השיב פרופ' לויטס "</w:t>
      </w:r>
      <w:r>
        <w:rPr>
          <w:rFonts w:ascii="David" w:hAnsi="David"/>
          <w:b/>
          <w:bCs/>
          <w:color w:val="000000"/>
          <w:rtl/>
        </w:rPr>
        <w:t>אני משיב שלא רשמתי את המשפט הזה, ואני לא יודע מה אמרתי באותה פגישה ספציפית, אבל לזוג שאינו נשוי אני מתייחס לעניין הזה בקצרה</w:t>
      </w:r>
      <w:r>
        <w:rPr>
          <w:rFonts w:ascii="David" w:hAnsi="David"/>
          <w:color w:val="000000"/>
          <w:rtl/>
        </w:rPr>
        <w:t>..." (שם, עמ' 14 שו' 19-18).</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Calibri" w:eastAsiaTheme="minorHAnsi" w:hAnsi="Calibri"/>
          <w:rtl/>
        </w:rPr>
      </w:pPr>
      <w:r>
        <w:rPr>
          <w:rFonts w:ascii="David" w:hAnsi="David"/>
          <w:color w:val="000000"/>
          <w:rtl/>
        </w:rPr>
        <w:t xml:space="preserve">העולה </w:t>
      </w:r>
      <w:r>
        <w:rPr>
          <w:rFonts w:ascii="David" w:hAnsi="David"/>
          <w:rtl/>
        </w:rPr>
        <w:t>מהמקובץ</w:t>
      </w:r>
      <w:r>
        <w:rPr>
          <w:rFonts w:ascii="David" w:hAnsi="David"/>
          <w:color w:val="000000"/>
          <w:rtl/>
        </w:rPr>
        <w:t>. פרופ' לויטס לא יכול היה לאשר את גרסת המערער לפיה אמר לצדדים בפגישה כי לכל אחד מהם הזכות לחזור בו עד שלב ההחדרה. ככלל, לדבריו, "</w:t>
      </w:r>
      <w:r>
        <w:rPr>
          <w:rFonts w:ascii="David" w:hAnsi="David"/>
          <w:b/>
          <w:bCs/>
          <w:color w:val="000000"/>
          <w:rtl/>
        </w:rPr>
        <w:t>מאוד נדיר</w:t>
      </w:r>
      <w:r>
        <w:rPr>
          <w:rFonts w:ascii="David" w:hAnsi="David"/>
          <w:color w:val="000000"/>
          <w:rtl/>
        </w:rPr>
        <w:t>" שהוא נדרש להתייחס לפרשנות סעיף ב"תצהיר". אף שלזוג שאינו נשוי הוא "</w:t>
      </w:r>
      <w:r>
        <w:rPr>
          <w:rFonts w:ascii="David" w:hAnsi="David"/>
          <w:b/>
          <w:bCs/>
          <w:color w:val="000000"/>
          <w:rtl/>
        </w:rPr>
        <w:t xml:space="preserve">מתייחס </w:t>
      </w:r>
      <w:r>
        <w:rPr>
          <w:rFonts w:ascii="David" w:hAnsi="David"/>
          <w:b/>
          <w:bCs/>
          <w:color w:val="000000"/>
          <w:rtl/>
        </w:rPr>
        <w:lastRenderedPageBreak/>
        <w:t>לעניין הזה בקצרה</w:t>
      </w:r>
      <w:r>
        <w:rPr>
          <w:rFonts w:ascii="David" w:hAnsi="David"/>
          <w:color w:val="000000"/>
          <w:rtl/>
        </w:rPr>
        <w:t>", הוא אינו זוכר על מה שוחח עם המערער והמשיבה. אדרבה: כאשר זוג מגיעים אליו יחדיו הוא מעדיף לא לעורר סימני שאלה ביחס לטיב הקשר ביניהם (שם, עמ' 14 שו' 25-21), שכן, כאמור, כאשר זוג מגיע יחד, "</w:t>
      </w:r>
      <w:r>
        <w:rPr>
          <w:rFonts w:ascii="David" w:hAnsi="David"/>
          <w:b/>
          <w:bCs/>
          <w:color w:val="000000"/>
          <w:rtl/>
        </w:rPr>
        <w:t>זו הצהרה שהם רוצים את זה ביחד</w:t>
      </w:r>
      <w:r>
        <w:rPr>
          <w:rFonts w:ascii="David" w:hAnsi="David"/>
          <w:color w:val="000000"/>
          <w:rtl/>
        </w:rPr>
        <w:t>". לטעמי, מתפרש כי פרופ' לויטס כלל לא אמר לצדדים בפגישה כי נדרשת הסכמת שניהם עד למועד החדרת הביציות המופרות לרחם. זאת, מאחר שהמערער טען כי מיד לאחר שהוציא זרעו מגופו, שיתף את אמו "</w:t>
      </w:r>
      <w:r>
        <w:rPr>
          <w:rFonts w:ascii="David" w:hAnsi="David"/>
          <w:b/>
          <w:bCs/>
          <w:color w:val="000000"/>
          <w:rtl/>
        </w:rPr>
        <w:t>עוד באותו היום</w:t>
      </w:r>
      <w:r>
        <w:rPr>
          <w:rFonts w:ascii="David" w:hAnsi="David"/>
          <w:color w:val="000000"/>
          <w:rtl/>
        </w:rPr>
        <w:t>" (סעיף 16 לתצהירו), וכי אמו "</w:t>
      </w:r>
      <w:r>
        <w:rPr>
          <w:rFonts w:ascii="David" w:hAnsi="David"/>
          <w:b/>
          <w:bCs/>
          <w:color w:val="000000"/>
          <w:rtl/>
        </w:rPr>
        <w:t xml:space="preserve">הרגיעה אותי ואותה </w:t>
      </w:r>
      <w:r>
        <w:rPr>
          <w:rFonts w:ascii="David" w:hAnsi="David"/>
          <w:b/>
          <w:bCs/>
          <w:color w:val="000000"/>
          <w:u w:val="single"/>
          <w:rtl/>
        </w:rPr>
        <w:t>בכך שללא הסכמתי</w:t>
      </w:r>
      <w:r>
        <w:rPr>
          <w:rFonts w:ascii="David" w:hAnsi="David"/>
          <w:b/>
          <w:bCs/>
          <w:color w:val="000000"/>
          <w:rtl/>
        </w:rPr>
        <w:t xml:space="preserve"> ממילא לא תוכל ח' לעשות שימוש בביציות המופרות בזרעי, כך שיש לי עדיין אפשרות להתחרט על הסכמתי הנמהרת להפרות ביציות של ח' בזרעי</w:t>
      </w:r>
      <w:r>
        <w:rPr>
          <w:rFonts w:ascii="David" w:hAnsi="David"/>
          <w:color w:val="000000"/>
          <w:rtl/>
        </w:rPr>
        <w:t xml:space="preserve">" (שם, שם). דהיינו, המערער טען כי אמו שמעה ממנו שנדרשת הסכמתו עד סוף התהליך, ובשל כך עלה בידה להרגיעו. ככל שכך, היה על המערער לצרף תצהיר מטעם אמו על מנת להוכיח כי אמר לה ששמע זאת מפי פרופ' לויטס זה מכבר. משלא הובאה האם לעדות, </w:t>
      </w:r>
      <w:r>
        <w:rPr>
          <w:rtl/>
        </w:rPr>
        <w:t xml:space="preserve">אין אלא להסיק כי אילו הובא תצהיר מטעמה,  תוכנו היה פועל לרעת המערער בנדון (השוו: ע"א 55/89 </w:t>
      </w:r>
      <w:r>
        <w:rPr>
          <w:b/>
          <w:bCs/>
          <w:u w:val="single"/>
          <w:rtl/>
        </w:rPr>
        <w:t>קופל (נהיגה עצמית) בע"מ נ' טלקאר חברה בע"מ</w:t>
      </w:r>
      <w:r>
        <w:rPr>
          <w:rtl/>
        </w:rPr>
        <w:t>, פ"ד מד(4) 595, 603 (1990).</w:t>
      </w:r>
    </w:p>
    <w:p w:rsidR="006D7615" w:rsidRDefault="006D7615" w:rsidP="006D7615">
      <w:pPr>
        <w:pStyle w:val="ad"/>
        <w:shd w:val="clear" w:color="auto" w:fill="FFFFFF"/>
        <w:spacing w:after="80" w:line="360" w:lineRule="auto"/>
        <w:jc w:val="both"/>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אפילו יימצא לומר כי ניתן לקבוע במידת הוודאות הנדרשת שפרופ' לויטס אמר לצדדים בפגישה כי נדרשת הסכמת שניהם עד למועד החדרת הביציות המופרות לרחם, סבורני כי על רקע התנהלות המערער כפי שתבואר להלן, הסכמתו הנדרשת ניגפת במובהק לעומת דרך הילוכו שפגמה באפשרות המשיבה לקבל הסכמה מודעת מצדה להפריה המשותפת עם המערער, ומשום כך יש להכריע כי במערך הזכויות הנוגד, זכותה של המשיבה עדיפה.</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 xml:space="preserve">ביום 23.11.15 בוצע ביחידה לפוריות הליך של שאיבת ביציות מגופה של המשיבה. במקביל, המערער מסר ליחידה זרע לצורך הפריית הביציות. בתום מהלך שאיבת הביציות התברר כי הופקו שלוש ביציות תקינות והוחלט בהמלצת הרופאים, ובהסכמת הצדדים, להפרות את שלוש הביציות לעוברים. העוברים הופרו בו ביום, דהיינו בתאריך 23.11.15, והוקפאו ביום 25.11.15 (נספח ה' לתצהיר עדותה הראשי של המשיבה). </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המערער טען בהקשר זה, "</w:t>
      </w:r>
      <w:r>
        <w:rPr>
          <w:rFonts w:ascii="David" w:hAnsi="David"/>
          <w:b/>
          <w:bCs/>
          <w:color w:val="000000"/>
          <w:u w:val="single"/>
          <w:rtl/>
        </w:rPr>
        <w:t>בהחלט ניתן לומר שרגע שאיבת הזרע שלי על ידי ח' היה הרגע בו התערערו יחסי הזוגיות בינינו</w:t>
      </w:r>
      <w:r>
        <w:rPr>
          <w:rFonts w:ascii="David" w:hAnsi="David"/>
          <w:b/>
          <w:bCs/>
          <w:color w:val="000000"/>
          <w:rtl/>
        </w:rPr>
        <w:t xml:space="preserve">. </w:t>
      </w:r>
      <w:r>
        <w:rPr>
          <w:rFonts w:ascii="David" w:hAnsi="David"/>
          <w:b/>
          <w:bCs/>
          <w:color w:val="000000"/>
          <w:u w:val="single"/>
          <w:rtl/>
        </w:rPr>
        <w:t>אני חשתי מובך, מושפל ומנוצל</w:t>
      </w:r>
      <w:r>
        <w:rPr>
          <w:rFonts w:ascii="David" w:hAnsi="David"/>
          <w:b/>
          <w:bCs/>
          <w:color w:val="000000"/>
          <w:rtl/>
        </w:rPr>
        <w:t xml:space="preserve">. בעיני רוחי ראיתי את עצמי אסוציאטיבית באותם הרגעים הלא נעימים </w:t>
      </w:r>
      <w:r>
        <w:rPr>
          <w:rFonts w:ascii="David" w:hAnsi="David"/>
          <w:b/>
          <w:bCs/>
          <w:color w:val="000000"/>
          <w:u w:val="single"/>
          <w:rtl/>
        </w:rPr>
        <w:t>כפרה שחולבים אותה ביד גסה</w:t>
      </w:r>
      <w:r>
        <w:rPr>
          <w:rFonts w:ascii="David" w:hAnsi="David"/>
          <w:b/>
          <w:bCs/>
          <w:color w:val="000000"/>
          <w:rtl/>
        </w:rPr>
        <w:t xml:space="preserve">. </w:t>
      </w:r>
      <w:r>
        <w:rPr>
          <w:rFonts w:ascii="David" w:hAnsi="David"/>
          <w:b/>
          <w:bCs/>
          <w:color w:val="000000"/>
          <w:u w:val="single"/>
          <w:rtl/>
        </w:rPr>
        <w:t>איך יוצאים מזה עכשיו ? שאלתי את עצמי</w:t>
      </w:r>
      <w:r>
        <w:rPr>
          <w:rFonts w:ascii="David" w:hAnsi="David"/>
          <w:b/>
          <w:bCs/>
          <w:color w:val="000000"/>
          <w:rtl/>
        </w:rPr>
        <w:t xml:space="preserve">. </w:t>
      </w:r>
      <w:r>
        <w:rPr>
          <w:rFonts w:ascii="David" w:hAnsi="David"/>
          <w:b/>
          <w:bCs/>
          <w:color w:val="000000"/>
          <w:u w:val="single"/>
          <w:rtl/>
        </w:rPr>
        <w:t>בתחושותיי הקשות שיתפתי עוד באותו היום את אמי</w:t>
      </w:r>
      <w:r>
        <w:rPr>
          <w:rFonts w:ascii="David" w:hAnsi="David"/>
          <w:b/>
          <w:bCs/>
          <w:color w:val="000000"/>
          <w:rtl/>
        </w:rPr>
        <w:t>. היא הרגיעה אותי ואותה בכך שללא הסכמתי ממילא לא תוכל ח' לעשות שימוש בביציות המופרות בזרעי, כך שיש לי עדיין אפשרות להתחרט על הסכמתי הנמהרת להפרות ביציות של ח' בזרעי</w:t>
      </w:r>
      <w:r>
        <w:rPr>
          <w:rFonts w:ascii="David" w:hAnsi="David"/>
          <w:color w:val="000000"/>
          <w:rtl/>
        </w:rPr>
        <w:t>" (סעיף 16 לתצהיר עדותו הראשית; ההדגשות לא במקור).</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מאחר שלטענתו, כבר עם הוצאת הזרע מגופו, עובר להפריית הביציות, חש כי "</w:t>
      </w:r>
      <w:r>
        <w:rPr>
          <w:rFonts w:ascii="David" w:hAnsi="David"/>
          <w:b/>
          <w:bCs/>
          <w:color w:val="000000"/>
          <w:rtl/>
        </w:rPr>
        <w:t>התערערו יחסי הזוגיות בינינו</w:t>
      </w:r>
      <w:r>
        <w:rPr>
          <w:rFonts w:ascii="David" w:hAnsi="David"/>
          <w:color w:val="000000"/>
          <w:rtl/>
        </w:rPr>
        <w:t>", בחקירתו נשאל המערער האם שיתף את המשיבה בתחושותיו אותה עת לגבי מערכת היחסים ביניהם. המערער השיב כי הסיטואציה לא הייתה פשוטה מבחינתו, וכי "</w:t>
      </w:r>
      <w:r>
        <w:rPr>
          <w:rFonts w:ascii="David" w:hAnsi="David"/>
          <w:b/>
          <w:bCs/>
          <w:color w:val="000000"/>
          <w:rtl/>
        </w:rPr>
        <w:t>אני הייתי מאוד מבולבל, לא רק מבולבל, הייתי מאוד נבוך, כאילו לא ידעתי מה אני עושה עכשיו</w:t>
      </w:r>
      <w:r>
        <w:rPr>
          <w:rFonts w:ascii="David" w:hAnsi="David"/>
          <w:color w:val="000000"/>
          <w:rtl/>
        </w:rPr>
        <w:t>..." (עמ' 18 לפרו' מיום 31.1.22 שו' 10-9). נוכח לבטיו ותחושתו כי מערכת יחסיו עם המשיבה התערערה, בהמשך נשאל, "</w:t>
      </w:r>
      <w:r>
        <w:rPr>
          <w:rFonts w:ascii="David" w:hAnsi="David"/>
          <w:b/>
          <w:bCs/>
          <w:color w:val="000000"/>
          <w:rtl/>
        </w:rPr>
        <w:t>למה לא אמרת לח': חכי שנייה, בואי, אולי כדאי שנפרה ביצית אחת ונשאיר שתיים לא מופרות ? או שנפרה שתיים ונשאיר אחת שהיא לא מופרית. למה לא, למה לא אמרת לה את זה ?</w:t>
      </w:r>
      <w:r>
        <w:rPr>
          <w:rFonts w:ascii="David" w:hAnsi="David"/>
          <w:color w:val="000000"/>
          <w:rtl/>
        </w:rPr>
        <w:t>", והשיב: "</w:t>
      </w:r>
      <w:r>
        <w:rPr>
          <w:rFonts w:ascii="David" w:hAnsi="David"/>
          <w:b/>
          <w:bCs/>
          <w:color w:val="000000"/>
          <w:rtl/>
        </w:rPr>
        <w:t>אני לא, לא יודע למה לא אמרתי לה באותו זמן</w:t>
      </w:r>
      <w:r>
        <w:rPr>
          <w:rFonts w:ascii="David" w:hAnsi="David"/>
          <w:color w:val="000000"/>
          <w:rtl/>
        </w:rPr>
        <w:t>" (שם, עמ' 24 שו' 18-15; השוו: שם, עמ' 38 שו' 44-33; שם, עמ' 40 שו' 25-19). בית משפט קמא הוסיף ושאל את המערער אם עודנו עומד על טענתו כי "</w:t>
      </w:r>
      <w:r>
        <w:rPr>
          <w:rFonts w:ascii="David" w:hAnsi="David"/>
          <w:b/>
          <w:bCs/>
          <w:color w:val="000000"/>
          <w:rtl/>
        </w:rPr>
        <w:t>חלבו אותי כמו פרה</w:t>
      </w:r>
      <w:r>
        <w:rPr>
          <w:rFonts w:ascii="David" w:hAnsi="David"/>
          <w:color w:val="000000"/>
          <w:rtl/>
        </w:rPr>
        <w:t>", כפי שציין בתצהירו, והמערער השיב בחיוב (עמ' 40 שו' 27-26). משנשאל, אם כך, מדוע לא אמר למשיבה כי איננו מעוניין להפרות ביציותיה בזרעו וכי מוטב שתפנה לבנק הזרע, השיב "</w:t>
      </w:r>
      <w:r>
        <w:rPr>
          <w:rFonts w:ascii="David" w:hAnsi="David"/>
          <w:b/>
          <w:bCs/>
          <w:color w:val="000000"/>
          <w:rtl/>
        </w:rPr>
        <w:t>לא ידעתי איך לעשות את זה...רציתי לעשות את זה, כן, אבל לא הצלחתי לעשות את זה, לא היה לי את ה... לא ידעתי איך לעשות את זה</w:t>
      </w:r>
      <w:r>
        <w:rPr>
          <w:rFonts w:ascii="David" w:hAnsi="David"/>
          <w:color w:val="000000"/>
          <w:rtl/>
        </w:rPr>
        <w:t>" (שם, שו' 35-30).</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לאחר שטען כאמור כי "</w:t>
      </w:r>
      <w:r>
        <w:rPr>
          <w:rFonts w:ascii="David" w:hAnsi="David"/>
          <w:b/>
          <w:bCs/>
          <w:color w:val="000000"/>
          <w:rtl/>
        </w:rPr>
        <w:t>אני לא, לא יודע למה לא אמרתי לה באותו זמן</w:t>
      </w:r>
      <w:r>
        <w:rPr>
          <w:rFonts w:ascii="David" w:hAnsi="David"/>
          <w:color w:val="000000"/>
          <w:rtl/>
        </w:rPr>
        <w:t>" (שם, עמ' 24 שו' 18), נשאל פעם נוספת האם שיתף את המשיבה פוזיטיבית בלבטיו לגבי המשך הזוגיות, עובר להפריית הביציות, והשיב: "</w:t>
      </w:r>
      <w:r>
        <w:rPr>
          <w:rFonts w:ascii="David" w:hAnsi="David"/>
          <w:b/>
          <w:bCs/>
          <w:color w:val="000000"/>
          <w:rtl/>
        </w:rPr>
        <w:t>בבירור לא אמרתי לה את זה, אבל ידעתי שאנחנו בחברות, אנחנו מבינים את הקשר בינינו"</w:t>
      </w:r>
      <w:r>
        <w:rPr>
          <w:rFonts w:ascii="David" w:hAnsi="David"/>
          <w:color w:val="000000"/>
          <w:rtl/>
        </w:rPr>
        <w:t xml:space="preserve"> (שם, ש' 34-33). בהמשך, שב ונשאל על כך, לרבות מדוע לא הציע למשיבה שלא להפרות את כל הביציות מזרעו. על כך השיב המערער תשובה שונה, "</w:t>
      </w:r>
      <w:r>
        <w:rPr>
          <w:rFonts w:ascii="David" w:hAnsi="David"/>
          <w:b/>
          <w:bCs/>
          <w:color w:val="000000"/>
          <w:rtl/>
        </w:rPr>
        <w:t>היה ברור שאחרי ההפריה של העוברים האלה, השלב הבא זה לעשות ביציות, זה מה שידעתי וזה מה שח' ידעה</w:t>
      </w:r>
      <w:r>
        <w:rPr>
          <w:rFonts w:ascii="David" w:hAnsi="David"/>
          <w:color w:val="000000"/>
          <w:rtl/>
        </w:rPr>
        <w:t>" (שם, עמ' 34 שו' 7-6; השוו: שם, עמ' 39 שו' 14-11). חרף דבריו החוזרים ונשנים במהלך חקירתו כי לא שיתף את המשיבה בלבטיו, ביני לביני טען לפתע, "</w:t>
      </w:r>
      <w:r>
        <w:rPr>
          <w:rFonts w:ascii="David" w:hAnsi="David"/>
          <w:b/>
          <w:bCs/>
          <w:color w:val="000000"/>
          <w:rtl/>
        </w:rPr>
        <w:t>אני לא זוכר אם שיתפתי אותה, אני רק יודע להגיד שמה שרשמתי זה נכון</w:t>
      </w:r>
      <w:r>
        <w:rPr>
          <w:rFonts w:ascii="David" w:hAnsi="David"/>
          <w:color w:val="000000"/>
          <w:rtl/>
        </w:rPr>
        <w:t>" (שם, עמ' 32 שו' 27).</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מסקנת הדברים הברורה עד הנה, מתוך גרסתו של המערער עצמו, כי עד רגע הוצאת הזרע מגופו ביום 23.11.15, הזוגיות בין הצדדים הייתה תקינה וטובה. הרגע המכונן בו מערכת יחסיו עם המשיבה התערערה </w:t>
      </w:r>
      <w:r>
        <w:rPr>
          <w:rFonts w:ascii="David" w:hAnsi="David"/>
          <w:color w:val="000000"/>
          <w:u w:val="single"/>
          <w:rtl/>
        </w:rPr>
        <w:t>לתפיסתו</w:t>
      </w:r>
      <w:r>
        <w:rPr>
          <w:rFonts w:ascii="David" w:hAnsi="David"/>
          <w:color w:val="000000"/>
          <w:rtl/>
        </w:rPr>
        <w:t xml:space="preserve"> היה כאשר הוא נדרש להוצאת הזרע מגופו. או אז, הרהר בינו לבין עצמו, ולאחר מכן עם אמו, "</w:t>
      </w:r>
      <w:r>
        <w:rPr>
          <w:rFonts w:ascii="David" w:hAnsi="David"/>
          <w:b/>
          <w:bCs/>
          <w:color w:val="000000"/>
          <w:rtl/>
        </w:rPr>
        <w:t xml:space="preserve">איך יוצאים מזה עכשיו ? שאלתי את עצמי" </w:t>
      </w:r>
      <w:r>
        <w:rPr>
          <w:rFonts w:ascii="David" w:hAnsi="David"/>
          <w:color w:val="000000"/>
          <w:rtl/>
        </w:rPr>
        <w:t>(ס' 16 לתצהירו). חרף האמור, מתפרש בבירור כי על אף שגם חש "</w:t>
      </w:r>
      <w:r>
        <w:rPr>
          <w:rFonts w:ascii="David" w:hAnsi="David"/>
          <w:b/>
          <w:bCs/>
          <w:color w:val="000000"/>
          <w:rtl/>
        </w:rPr>
        <w:t>מובך, מושפל ומנוצל</w:t>
      </w:r>
      <w:r>
        <w:rPr>
          <w:rFonts w:ascii="David" w:hAnsi="David"/>
          <w:color w:val="000000"/>
          <w:rtl/>
        </w:rPr>
        <w:t xml:space="preserve">... </w:t>
      </w:r>
      <w:r>
        <w:rPr>
          <w:rFonts w:ascii="David" w:hAnsi="David"/>
          <w:b/>
          <w:bCs/>
          <w:color w:val="000000"/>
          <w:rtl/>
        </w:rPr>
        <w:t>כפרה שחולבים אותה ביד גסה</w:t>
      </w:r>
      <w:r>
        <w:rPr>
          <w:rFonts w:ascii="David" w:hAnsi="David"/>
          <w:color w:val="000000"/>
          <w:rtl/>
        </w:rPr>
        <w:t>", לא מצא המערער לשתף "</w:t>
      </w:r>
      <w:r>
        <w:rPr>
          <w:rFonts w:ascii="David" w:hAnsi="David"/>
          <w:b/>
          <w:bCs/>
          <w:color w:val="000000"/>
          <w:rtl/>
        </w:rPr>
        <w:t>בתחושותיי הקשות</w:t>
      </w:r>
      <w:r>
        <w:rPr>
          <w:rFonts w:ascii="David" w:hAnsi="David"/>
          <w:color w:val="000000"/>
          <w:rtl/>
        </w:rPr>
        <w:t xml:space="preserve">" (סעיף 16 </w:t>
      </w:r>
      <w:r>
        <w:rPr>
          <w:rFonts w:ascii="David" w:hAnsi="David"/>
          <w:color w:val="000000"/>
          <w:rtl/>
        </w:rPr>
        <w:lastRenderedPageBreak/>
        <w:t>לתצהירו) אלא את אמו ולא את המשיבה שלא ידעה מכך דבר. אילו הייתה המשיבה ערה להלך רוחו, מאליו מובן כי היה בכוחה לשקול האם חרף האמור להפרות את ביציותיה, כולן או חלקן, בזרעו של המערער. מאחר שהמערער הסתיר זאת ממנה, הוא פגם ביכולתה לקבל החלטה מושכלת הנשענת על ברכי מסד עובדתי מלא, בפרט לגבי מערך הזוגיות ביניהם, שהשתנה באחת עם הוצאת הזרע מגופו כטענתו.</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משהגענו לכאן, עלינו להידרש לשתי טענות משנה המזדקרות מתוך טיעוני המערער. </w:t>
      </w:r>
      <w:r>
        <w:rPr>
          <w:rFonts w:ascii="David" w:hAnsi="David"/>
          <w:b/>
          <w:bCs/>
          <w:color w:val="000000"/>
          <w:u w:val="single"/>
          <w:rtl/>
        </w:rPr>
        <w:t>הטענה האחת</w:t>
      </w:r>
      <w:r>
        <w:rPr>
          <w:rFonts w:ascii="David" w:hAnsi="David"/>
          <w:color w:val="000000"/>
          <w:rtl/>
        </w:rPr>
        <w:t xml:space="preserve">, כי לא סיפר למשיבה שלתפיסתו מערכת יחסיו עמו התערערה עוד בטרם ההפריה מאחר שממילא היא הייתה עתידה לעבור סבבים נוספים של שאיבת ביציות, </w:t>
      </w:r>
      <w:r>
        <w:rPr>
          <w:rFonts w:ascii="David" w:hAnsi="David"/>
          <w:b/>
          <w:bCs/>
          <w:color w:val="000000"/>
          <w:u w:val="single"/>
          <w:rtl/>
        </w:rPr>
        <w:t>והטענה האחרת</w:t>
      </w:r>
      <w:r>
        <w:rPr>
          <w:rFonts w:ascii="David" w:hAnsi="David"/>
          <w:color w:val="000000"/>
          <w:rtl/>
        </w:rPr>
        <w:t>, כי היה ברור למשיבה שמערכת יחסיהם היא בגדר "חברות" בלבד, כך שלא היה בכוחה לפתח ציפייה מוכרחת כי המערער יצרף בסופו של יום הסכמתו להחזרת העוברים לרחם.</w:t>
      </w:r>
    </w:p>
    <w:p w:rsidR="006D7615" w:rsidRDefault="006D7615" w:rsidP="006D7615">
      <w:pPr>
        <w:shd w:val="clear" w:color="auto" w:fill="FFFFFF"/>
        <w:spacing w:after="80" w:line="360" w:lineRule="auto"/>
        <w:jc w:val="both"/>
        <w:rPr>
          <w:rFonts w:ascii="David" w:hAnsi="David"/>
          <w:b/>
          <w:bCs/>
          <w:color w:val="000000"/>
          <w:u w:val="single"/>
          <w:rtl/>
        </w:rPr>
      </w:pPr>
      <w:r>
        <w:rPr>
          <w:rFonts w:ascii="David" w:hAnsi="David"/>
          <w:b/>
          <w:bCs/>
          <w:color w:val="000000"/>
          <w:u w:val="single"/>
          <w:rtl/>
        </w:rPr>
        <w:t>טענת משנה ראשונה - המערער לא שיתף המשיבה בתחושותיו מאחר שהייתה עתידה לעבור סבבים נוספים של שאיבת ביציות</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כפי שפורט ברקע הדברים על ידי חברתי, כב' השופטת לוין, ביום 23.11.15 בוצע ביחידה לפוריות הליך שאיבת ביציות מגופה של המשיבה, ובמקביל לכך המערער מסר ליחידה זרע מגופו לצורך הפריית הביציות, והביציות אכן הופרו מזרעו בו ביום והוקפאו ביום 25.11.15. בסמוך לאחר מכן החלה המשיבה תהליך נוסף לקראת שאיבת ביציות, אך השאיבה לא בוצעה בפועל, שכן, התהליך הופסק כעבור "</w:t>
      </w:r>
      <w:r>
        <w:rPr>
          <w:rFonts w:ascii="David" w:hAnsi="David"/>
          <w:b/>
          <w:bCs/>
          <w:color w:val="000000"/>
          <w:rtl/>
        </w:rPr>
        <w:t>עשרה ימים של טיפולי זריקות</w:t>
      </w:r>
      <w:r>
        <w:rPr>
          <w:rFonts w:ascii="David" w:hAnsi="David"/>
          <w:color w:val="000000"/>
          <w:rtl/>
        </w:rPr>
        <w:t>" (חקירת פרופ' לויטס בערעור, עמ' 11 לפרו' שו' 35), בעקבות הממצאים הרפואיים שנתגלו בגופה של המשיבה.</w:t>
      </w:r>
    </w:p>
    <w:p w:rsidR="006D7615" w:rsidRDefault="006D7615" w:rsidP="006D7615">
      <w:pPr>
        <w:pStyle w:val="ad"/>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פרופ' לויטס העיד בערעור כי הליך שימור הפוריות בו החלה המשיבה נבע מהדחיפות ומכך שאם הדבר לא יבוצע בעת הזו, אפשר כי לא ניתן יהיה עוד לשמר פוריות (עמ' 15 לפרו' שו' 12-3). כך, עת נשאל, "</w:t>
      </w:r>
      <w:r>
        <w:rPr>
          <w:rFonts w:ascii="David" w:hAnsi="David"/>
          <w:b/>
          <w:bCs/>
          <w:color w:val="000000"/>
          <w:rtl/>
        </w:rPr>
        <w:t>האם זה יהיה נכון לומר שבמועד שבו הוחלט על שימור פוריות, הדחיפות של העניין נבעה מהעובדה שאם זה לא יתבצע עכשיו, יכול מאוד להיות שלא ניתן יהיה עוד לשמר פוריות בעתיד ?</w:t>
      </w:r>
      <w:r>
        <w:rPr>
          <w:rFonts w:ascii="David" w:hAnsi="David"/>
          <w:color w:val="000000"/>
          <w:rtl/>
        </w:rPr>
        <w:t>", השיב, "</w:t>
      </w:r>
      <w:r>
        <w:rPr>
          <w:rFonts w:ascii="David" w:hAnsi="David"/>
          <w:b/>
          <w:bCs/>
          <w:color w:val="000000"/>
          <w:rtl/>
        </w:rPr>
        <w:t>נכון, וזה גם מה שקרה בסוף</w:t>
      </w:r>
      <w:r>
        <w:rPr>
          <w:rFonts w:ascii="David" w:hAnsi="David"/>
          <w:color w:val="000000"/>
          <w:rtl/>
        </w:rPr>
        <w:t>" (שם, שו' 12-9). כן הוסיף פרופ' לויטס כי הצדדים היו מודעים למצבה הרפואי של המשיבה על רקע הסבריו, וכי הבינו את הדחיפות והמגבלות של שימור פוריות בעתיד, ועל כן, החליטו מרצונם להפרות את הביציות בזרעו של המערער (שם, שו' 35-28). באופן דומה, נשאל פרופ' לויטס, "</w:t>
      </w:r>
      <w:r>
        <w:rPr>
          <w:rFonts w:ascii="David" w:hAnsi="David"/>
          <w:b/>
          <w:bCs/>
          <w:color w:val="000000"/>
          <w:rtl/>
        </w:rPr>
        <w:t>שני הצדדים ידעו שאם לא יתבצע כאן ועכשיו, יש סיכוי שלא ניתן לבצע את זה ?</w:t>
      </w:r>
      <w:r>
        <w:rPr>
          <w:rFonts w:ascii="David" w:hAnsi="David"/>
          <w:color w:val="000000"/>
          <w:rtl/>
        </w:rPr>
        <w:t>", והשיב "</w:t>
      </w:r>
      <w:r>
        <w:rPr>
          <w:rFonts w:ascii="David" w:hAnsi="David"/>
          <w:b/>
          <w:bCs/>
          <w:color w:val="000000"/>
          <w:rtl/>
        </w:rPr>
        <w:t>נכון. כולם ידעו שזה מצב דחוף</w:t>
      </w:r>
      <w:r>
        <w:rPr>
          <w:rFonts w:ascii="David" w:hAnsi="David"/>
          <w:color w:val="000000"/>
          <w:rtl/>
        </w:rPr>
        <w:t xml:space="preserve">" (שם, עמ' 16 שו' 27-26). זאת, על רקע מצבה </w:t>
      </w:r>
      <w:r>
        <w:rPr>
          <w:rFonts w:ascii="David" w:hAnsi="David"/>
          <w:color w:val="000000"/>
          <w:rtl/>
        </w:rPr>
        <w:lastRenderedPageBreak/>
        <w:t>הרפואי של המשיבה שגרם לחשש כי הגידול יחזור או כי הטיפולים הכימותרפיים ישפיעו על פריון המשיבה (שם, עמ' 16 שו' 28 עד עמ' 17 שו' 1). מתוך שכך, כאשר נשאל האם במועד שבו הוחלט על הפריית שלוש הביציות, בהסכמת הצדדים, היה ידוע לשניהם כי נוכח מצבה הרפואי הייחודי של המשיבה, "</w:t>
      </w:r>
      <w:r>
        <w:rPr>
          <w:rFonts w:ascii="David" w:hAnsi="David"/>
          <w:b/>
          <w:bCs/>
          <w:color w:val="000000"/>
          <w:rtl/>
        </w:rPr>
        <w:t>יש סיכוי שבזאת תם ונשלם?</w:t>
      </w:r>
      <w:r>
        <w:rPr>
          <w:rFonts w:ascii="David" w:hAnsi="David"/>
          <w:color w:val="000000"/>
          <w:rtl/>
        </w:rPr>
        <w:t>", השיב "</w:t>
      </w:r>
      <w:r>
        <w:rPr>
          <w:rFonts w:ascii="David" w:hAnsi="David"/>
          <w:b/>
          <w:bCs/>
          <w:color w:val="000000"/>
          <w:rtl/>
        </w:rPr>
        <w:t>נכון. זה מלכתחילה היה ברור שאנחנו על זמן שאול</w:t>
      </w:r>
      <w:r>
        <w:rPr>
          <w:rFonts w:ascii="David" w:hAnsi="David"/>
          <w:color w:val="000000"/>
          <w:rtl/>
        </w:rPr>
        <w:t>" (שם, שו' 7-5).</w:t>
      </w:r>
    </w:p>
    <w:p w:rsidR="006D7615" w:rsidRDefault="006D7615" w:rsidP="006D7615">
      <w:pPr>
        <w:pStyle w:val="ad"/>
        <w:shd w:val="clear" w:color="auto" w:fill="FFFFFF"/>
        <w:spacing w:after="80" w:line="360" w:lineRule="auto"/>
        <w:jc w:val="both"/>
        <w:rPr>
          <w:rFonts w:ascii="David" w:hAnsi="David"/>
          <w:color w:val="000000"/>
        </w:rPr>
      </w:pPr>
      <w:r>
        <w:rPr>
          <w:rFonts w:ascii="David" w:hAnsi="David"/>
          <w:color w:val="000000"/>
          <w:rtl/>
        </w:rPr>
        <w:t xml:space="preserve"> </w:t>
      </w: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לאור האמור. סבורני כי יש לדחות טענת המערער לפיה "</w:t>
      </w:r>
      <w:r>
        <w:rPr>
          <w:rFonts w:ascii="David" w:hAnsi="David"/>
          <w:b/>
          <w:bCs/>
          <w:color w:val="000000"/>
          <w:rtl/>
        </w:rPr>
        <w:t>היה ברור שאחרי ההפריה של העוברים האלה, השלב הבא זה לעשות ביציות, זה מה שידעתי וזה מה שח' ידעה</w:t>
      </w:r>
      <w:r>
        <w:rPr>
          <w:rFonts w:ascii="David" w:hAnsi="David"/>
          <w:color w:val="000000"/>
          <w:rtl/>
        </w:rPr>
        <w:t>" (עמ' 34 לפרו' מיום 31.1.22 שו' 7-6), וכי "</w:t>
      </w:r>
      <w:r>
        <w:rPr>
          <w:rFonts w:ascii="David" w:hAnsi="David"/>
          <w:b/>
          <w:bCs/>
          <w:color w:val="000000"/>
          <w:rtl/>
        </w:rPr>
        <w:t>ידעתי שאחרי זה יהיו לה ביציות, אין דבר כזה, לא ידעתי שהיא תהיה תלויה רק בי</w:t>
      </w:r>
      <w:r>
        <w:rPr>
          <w:rFonts w:ascii="David" w:hAnsi="David"/>
          <w:color w:val="000000"/>
          <w:rtl/>
        </w:rPr>
        <w:t>" (שם, עמ' 39 שו' 14-12). מעדותו של פרופ' לויטס עולה בבירור כי הצדדים היו מודעים למצבה הרפואי של המשיבה, ולכך שנוכח המחלה האונקולוגית "</w:t>
      </w:r>
      <w:r>
        <w:rPr>
          <w:rFonts w:ascii="David" w:hAnsi="David"/>
          <w:b/>
          <w:bCs/>
          <w:color w:val="000000"/>
          <w:rtl/>
        </w:rPr>
        <w:t>יש סיכוי שבזאת תם ונשלם</w:t>
      </w:r>
      <w:r>
        <w:rPr>
          <w:rFonts w:ascii="David" w:hAnsi="David"/>
          <w:color w:val="000000"/>
          <w:rtl/>
        </w:rPr>
        <w:t xml:space="preserve">". הצדדים קיוו בוודאי לבצע סבבים נוספים של שאיבת ביציות, והמשיבה אף החלה בפועל תהליך נוסף לקראת שאיבת ביציות, אך השאיבה לא בוצעה נוכח ממצאים רפואיים שנתגלו בגופה. בשום שלב לא הייתה ודאות כי יעלה בידי המשיבה לסיים התהליך עד כדי שאיבת ביציות בפועל מגופה. אדרבה: פרופ' לויטס העיד כי הצדדים היו ערים למצבה הרפואי של המשיבה, תוך שציין כי </w:t>
      </w:r>
      <w:r>
        <w:rPr>
          <w:rFonts w:ascii="David" w:hAnsi="David"/>
          <w:b/>
          <w:bCs/>
          <w:color w:val="000000"/>
          <w:rtl/>
        </w:rPr>
        <w:t>"הטיפול ההורמונלי יכול להשפיע על המצב האונקולוגי, וגם ההתערבות הניתוחית, ואנחנו לא יכולים לעשות את זה ללא אישור אונקולוג, שהוא אותו אחד שהפסיק אותנו בסבב השני</w:t>
      </w:r>
      <w:r>
        <w:rPr>
          <w:rFonts w:ascii="David" w:hAnsi="David"/>
          <w:color w:val="000000"/>
          <w:rtl/>
        </w:rPr>
        <w:t>" (עמ' 12 לפרו' שו' 20-18). בנסיבות אלה, המערער מעולם לא יכול היה להניח, כטענתו, כי "</w:t>
      </w:r>
      <w:r>
        <w:rPr>
          <w:rFonts w:ascii="David" w:hAnsi="David"/>
          <w:b/>
          <w:bCs/>
          <w:color w:val="000000"/>
          <w:rtl/>
        </w:rPr>
        <w:t>אחרי זה יהיו לה ביציות... לא ידעתי שהיא תהיה תלויה רק בי</w:t>
      </w:r>
      <w:r>
        <w:rPr>
          <w:rFonts w:ascii="David" w:hAnsi="David"/>
          <w:color w:val="000000"/>
          <w:rtl/>
        </w:rPr>
        <w:t xml:space="preserve">". </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 xml:space="preserve">מטעם זה אף אינני תמים דעים עם מסקנת חברתי, כב' השופטת לוין, כי "ההנחה הייתה כי המשיבה מתחילה סבב טיפולים נוספים, כפי שאכן אירע, ובסופו יישאבו ביציות". לטעמי, דבריו של פרופ' לויטס מלמדים כי לאור מצבה האונקולוגי של המשיבה, לא ניתן היה להניח כי בסופו של דבר יישאבו ביציות נוספות.   </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יתר על כן. אף לו יצויר כי המערער סבר בזמן אמת שיעלה בידי המשיבה לבצע סבב טיפולים נוסף, אשר בסופו יישאבו ביציות נוספות, הרי אם לתפיסתו מערכת יחסיו עם המשיבה התערערה כבר עם הוצאת הזרע מגופו, לפני ההפריה, לא ברורה הרלוונטיות לכך שיהיו ברשותה בעתיד ביציות נוספות. ככל שהמערער הסתמך על כך תוך שהתכוון כי בביציות המופרות אין בדעתו לאפשר שימוש בעתיד, היה עליו לשתף את המשיבה בכך ובוודאי שלא ליצור מצג חזותי המצרף הסכמתו להפריית כלל ביציות המשיבה מזרעו. </w:t>
      </w:r>
    </w:p>
    <w:p w:rsidR="006D7615" w:rsidRDefault="006D7615" w:rsidP="006D7615">
      <w:pPr>
        <w:shd w:val="clear" w:color="auto" w:fill="FFFFFF"/>
        <w:spacing w:after="80" w:line="360" w:lineRule="auto"/>
        <w:jc w:val="both"/>
        <w:rPr>
          <w:rFonts w:ascii="David" w:hAnsi="David"/>
          <w:b/>
          <w:bCs/>
          <w:color w:val="000000"/>
          <w:u w:val="single"/>
          <w:rtl/>
        </w:rPr>
      </w:pPr>
    </w:p>
    <w:p w:rsidR="00D91FA9" w:rsidRDefault="00D91FA9" w:rsidP="006D7615">
      <w:pPr>
        <w:shd w:val="clear" w:color="auto" w:fill="FFFFFF"/>
        <w:spacing w:after="80" w:line="360" w:lineRule="auto"/>
        <w:jc w:val="both"/>
        <w:rPr>
          <w:rFonts w:ascii="David" w:hAnsi="David"/>
          <w:b/>
          <w:bCs/>
          <w:color w:val="000000"/>
          <w:u w:val="single"/>
          <w:rtl/>
        </w:rPr>
      </w:pPr>
    </w:p>
    <w:p w:rsidR="006D7615" w:rsidRDefault="006D7615" w:rsidP="006D7615">
      <w:pPr>
        <w:shd w:val="clear" w:color="auto" w:fill="FFFFFF"/>
        <w:spacing w:after="80" w:line="360" w:lineRule="auto"/>
        <w:jc w:val="both"/>
        <w:rPr>
          <w:rFonts w:ascii="David" w:hAnsi="David"/>
          <w:b/>
          <w:bCs/>
          <w:color w:val="000000"/>
          <w:u w:val="single"/>
          <w:rtl/>
        </w:rPr>
      </w:pPr>
      <w:r>
        <w:rPr>
          <w:rFonts w:ascii="David" w:hAnsi="David"/>
          <w:b/>
          <w:bCs/>
          <w:color w:val="000000"/>
          <w:u w:val="single"/>
          <w:rtl/>
        </w:rPr>
        <w:lastRenderedPageBreak/>
        <w:t>טענת משנה שנייה – טיב מערך יחסי הצדדים מנע מהמשיבה לפתח ציפייה עתידית</w:t>
      </w:r>
    </w:p>
    <w:p w:rsidR="006D7615" w:rsidRDefault="006D7615" w:rsidP="006D7615">
      <w:pPr>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בעניין מערכת היחסים בין הצדדים לאורך השנים, קו הטיעון של המערער, החל מכתב ההגנה, המשך בתצהירו וכלה בחקירתו ובסיכומיו, היה כי הקשר בינו לבין המשיבה היה קשר חברי, כמעט אקראי. לדבריו, "</w:t>
      </w:r>
      <w:r>
        <w:rPr>
          <w:rFonts w:ascii="David" w:hAnsi="David"/>
          <w:b/>
          <w:bCs/>
          <w:color w:val="000000"/>
          <w:rtl/>
        </w:rPr>
        <w:t>ידעתי שאנחנו בחברות, אנחנו מבינים את הקשר בינינו</w:t>
      </w:r>
      <w:r>
        <w:rPr>
          <w:rFonts w:ascii="David" w:hAnsi="David"/>
          <w:color w:val="000000"/>
          <w:rtl/>
        </w:rPr>
        <w:t>" (עמ' 24 לפרו' מיום 31.1.22 שו' 34-33; השוו: שם, עמ' 38 שו' 44-33).</w:t>
      </w:r>
    </w:p>
    <w:p w:rsidR="006D7615" w:rsidRDefault="006D7615" w:rsidP="006D7615">
      <w:pPr>
        <w:pStyle w:val="ad"/>
        <w:shd w:val="clear" w:color="auto" w:fill="FFFFFF"/>
        <w:spacing w:after="80" w:line="360" w:lineRule="auto"/>
        <w:jc w:val="both"/>
        <w:rPr>
          <w:rFonts w:ascii="David" w:hAnsi="David"/>
          <w:color w:val="000000"/>
          <w:rtl/>
        </w:rPr>
      </w:pPr>
      <w:r>
        <w:rPr>
          <w:rFonts w:ascii="David" w:hAnsi="David"/>
          <w:color w:val="000000"/>
          <w:rtl/>
        </w:rPr>
        <w:t xml:space="preserve"> </w:t>
      </w: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כך, בכתב ההגנה טען המערער כי הצדדים הכירו במהלך שנת 2013, ו"</w:t>
      </w:r>
      <w:r>
        <w:rPr>
          <w:rFonts w:ascii="David" w:hAnsi="David"/>
          <w:b/>
          <w:bCs/>
          <w:color w:val="000000"/>
          <w:rtl/>
        </w:rPr>
        <w:t xml:space="preserve">לימים </w:t>
      </w:r>
      <w:r>
        <w:rPr>
          <w:rFonts w:ascii="David" w:hAnsi="David"/>
          <w:b/>
          <w:bCs/>
          <w:color w:val="000000"/>
          <w:u w:val="single"/>
          <w:rtl/>
        </w:rPr>
        <w:t>התארחו</w:t>
      </w:r>
      <w:r>
        <w:rPr>
          <w:rFonts w:ascii="David" w:hAnsi="David"/>
          <w:b/>
          <w:bCs/>
          <w:color w:val="000000"/>
          <w:rtl/>
        </w:rPr>
        <w:t xml:space="preserve"> בבית הורי התובעת ולאחר מכן שב הנתבע לבית הוריו, והתובעת </w:t>
      </w:r>
      <w:r>
        <w:rPr>
          <w:rFonts w:ascii="David" w:hAnsi="David"/>
          <w:b/>
          <w:bCs/>
          <w:color w:val="000000"/>
          <w:u w:val="single"/>
          <w:rtl/>
        </w:rPr>
        <w:t>התארחה</w:t>
      </w:r>
      <w:r>
        <w:rPr>
          <w:rFonts w:ascii="David" w:hAnsi="David"/>
          <w:b/>
          <w:bCs/>
          <w:color w:val="000000"/>
          <w:rtl/>
        </w:rPr>
        <w:t xml:space="preserve"> שם עמו מעת לעת. </w:t>
      </w:r>
      <w:r>
        <w:rPr>
          <w:rFonts w:ascii="David" w:hAnsi="David"/>
          <w:b/>
          <w:bCs/>
          <w:color w:val="000000"/>
          <w:u w:val="single"/>
          <w:rtl/>
        </w:rPr>
        <w:t>המערכת הזוגית בין הצדדים לא הבשילה ולא יועדה בעת ההיא להקמת תא משפחתי</w:t>
      </w:r>
      <w:r>
        <w:rPr>
          <w:rFonts w:ascii="David" w:hAnsi="David"/>
          <w:color w:val="000000"/>
          <w:rtl/>
        </w:rPr>
        <w:t>" (ס' 24 לכתב ההגנה). בהמשך הודה כי המשיבה הלוותה לו כסף לרכישת מגרש,  אך לא היה בכך כדי להעיד על כוונה עתידית להקים תא משפחתי משותף (שם, שם). כן טען המערער כי לא היה שותף להתייעצויות המשיבה עם רופאיה במסגרת התהליך הרפואי הקשה שעברה (שם, ס' 28-27; השוו: ס' 5 לתצהיר עדותו הראשית). באופן דומה, בתצהירו חזר וטען, "</w:t>
      </w:r>
      <w:r>
        <w:rPr>
          <w:rFonts w:ascii="David" w:hAnsi="David"/>
          <w:b/>
          <w:bCs/>
          <w:color w:val="000000"/>
          <w:rtl/>
        </w:rPr>
        <w:t>לא חשבנו למסד את מערכת היחסים החברית שקיימנו. למעשה, כלל לא הגענו לשלב שיאפשר לנו לבחון את הזוגיות בינינו באופן עמוק</w:t>
      </w:r>
      <w:r>
        <w:rPr>
          <w:rFonts w:ascii="David" w:hAnsi="David"/>
          <w:color w:val="000000"/>
          <w:rtl/>
        </w:rPr>
        <w:t>...".</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בחקירתו טען המערער, "</w:t>
      </w:r>
      <w:r>
        <w:rPr>
          <w:rFonts w:ascii="David" w:hAnsi="David"/>
          <w:b/>
          <w:bCs/>
          <w:color w:val="000000"/>
          <w:rtl/>
        </w:rPr>
        <w:t>בחיים לא דיברתי על ילדים איתה, לא דיברתי</w:t>
      </w:r>
      <w:r>
        <w:rPr>
          <w:rFonts w:ascii="David" w:hAnsi="David"/>
          <w:color w:val="000000"/>
          <w:rtl/>
        </w:rPr>
        <w:t>..." (עמ' 21 לפרו' מיום 31.1.22 שו' 16). בית המשפט הקשה ושאל את המערער כיצד ייתכן כי לא דיברו ביניהם על הבאת ילדים לעולם, מקום בו הפרו יחד את ביציותיה בזרעו לכדי עוברים לאחר תהליך שנמשך זמן מה. על כך השיב המערער, "</w:t>
      </w:r>
      <w:r>
        <w:rPr>
          <w:rFonts w:ascii="David" w:hAnsi="David"/>
          <w:b/>
          <w:bCs/>
          <w:color w:val="000000"/>
          <w:rtl/>
        </w:rPr>
        <w:t>הדבר הזה, הדבר הזה שעשינו זה רק בגלל המצב שהיא הגיעה אליו... לא דיברנו לפני כן על ילדים, הקשר הזה לא היה... לא הוביל לדבר כזה. אני לא הרגשתי את זה</w:t>
      </w:r>
      <w:r>
        <w:rPr>
          <w:rFonts w:ascii="David" w:hAnsi="David"/>
          <w:color w:val="000000"/>
          <w:rtl/>
        </w:rPr>
        <w:t>" (שם, שו' 26-18). כן טען כי "</w:t>
      </w:r>
      <w:r>
        <w:rPr>
          <w:rFonts w:ascii="David" w:hAnsi="David"/>
          <w:b/>
          <w:bCs/>
          <w:color w:val="000000"/>
          <w:rtl/>
        </w:rPr>
        <w:t>אני בחיים לא דיברתי אתה על זה ולא חשבתי על זה. לא הגעתי, לא יכולתי ל... אני יודע מה זה להרגיש את זה ולדעת שאני רוצה, עשיתי את זה</w:t>
      </w:r>
      <w:r>
        <w:rPr>
          <w:rFonts w:ascii="David" w:hAnsi="David"/>
          <w:color w:val="000000"/>
          <w:rtl/>
        </w:rPr>
        <w:t>" (שם, שו' 30-28).</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תשובת המערער לא הניחה את דעתו של בית משפט קמא, אשר שב ושאל אותו כיצד טענתו כי לא דיבר עם המערערת על הבאת ילדים משותפים לעולם, מתיישבת עם העובדה שבסעיף 3 ל"תצהיר" עליו חתמו הצדדים, צוין במפורש כי העוברים שייווצרו מההפריה מיועדים להחדרה לרחמה של המשיבה. המערער השיב, "</w:t>
      </w:r>
      <w:r>
        <w:rPr>
          <w:rFonts w:ascii="David" w:hAnsi="David"/>
          <w:b/>
          <w:bCs/>
          <w:color w:val="000000"/>
          <w:rtl/>
        </w:rPr>
        <w:t>אני ידעתי שזו אופציה, מבחינתי ומבחינת ח'. לא דיברנו על להביא ילדים לעולם, דיברנו על זה שכרגע אנחנו בזוגיות...</w:t>
      </w:r>
      <w:r>
        <w:rPr>
          <w:rFonts w:ascii="David" w:hAnsi="David"/>
          <w:color w:val="000000"/>
          <w:rtl/>
        </w:rPr>
        <w:t>" (שם, עמ' 25, ש' 26-25). לעניין זה חזר וטען המערער, "</w:t>
      </w:r>
      <w:r>
        <w:rPr>
          <w:rFonts w:ascii="David" w:hAnsi="David"/>
          <w:b/>
          <w:bCs/>
          <w:color w:val="000000"/>
          <w:rtl/>
        </w:rPr>
        <w:t>לא דיברנו אף פעם על למסד את הקשר בינינו, זה לא דובר</w:t>
      </w:r>
      <w:r>
        <w:rPr>
          <w:rFonts w:ascii="David" w:hAnsi="David"/>
          <w:color w:val="000000"/>
          <w:rtl/>
        </w:rPr>
        <w:t>" (שם, עמ' 8, ש' 6).</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lastRenderedPageBreak/>
        <w:t>בניגוד לטענת המערער, בית משפט קמא קבע כממצא עובדתי כי מערכת היחסים בין המערער למשיבה לא היו אגביים, וכי אגד הראיות והעדויות "</w:t>
      </w:r>
      <w:r>
        <w:rPr>
          <w:rFonts w:ascii="David" w:hAnsi="David"/>
          <w:b/>
          <w:bCs/>
          <w:color w:val="000000"/>
          <w:rtl/>
        </w:rPr>
        <w:t>מחזק את התרשמות בית המשפט כי הצדדים ניהלו מערכת יחסים משמעותית, כאשר הנתבע היה מעורב בזמן אמת בכל החלטותיה של התובעת, כמו שהיא הייתה מעורבת בהחלטותיו. היא נתנה לו הלוואה של כסף, הוא ליווה אותה בטיפולים הרפואיים ומצאתי לקבל את טענת התובעת כי הנתבע הגיע מרצונו החופשי לפגישות עם הרופאים ולטיפולים בהם גם לגרסתו נכח פיזית, וכך מרצונו החופשי חתם על מסמכים וביצע פעולות רפואיות שבמסגרתן הופרו שלוש הביציות היחידות של התובעת בזרעו</w:t>
      </w:r>
      <w:r>
        <w:rPr>
          <w:rFonts w:ascii="David" w:hAnsi="David"/>
          <w:color w:val="000000"/>
          <w:rtl/>
        </w:rPr>
        <w:t>" (סעיף 64 לפסק הדין). כידוע. אין דרכה של ערכאת הערעור להתערב בממצאי עובדה ומהימנות שנקבעו על ידי בית משפט קמא, אלא אם על פני הדברים מתגלה שגיאה מהותית בהערכת הראיות ובקביעת העובדות או מקום בו קיימת התעלמות מראיה בעלת משקל מכריע. לא זו בלבד שאינני סבור כי הוצגו טעמים לסטות מההלכה הנוהגת בנדון, אלא שמתצהירו של מר א' ש', העוסק בענייני יהלומים, עלה כי במהלך שנת 2015 התקשר אליו המערער והתעניין ברכישת טבעת לצורך הצעת נישואין למשיבה. המערער לא הגיע לכלל רכישת הטבעת, אך גרסתו של מר ש' בדבר העניין שגילה המערער ברכישתה לא נסתרה בחקירתו (עמ' 42 לפרו' מיום 30.1.22 שו' 15).</w:t>
      </w:r>
    </w:p>
    <w:p w:rsidR="006D7615" w:rsidRDefault="006D7615" w:rsidP="006D7615">
      <w:pPr>
        <w:pStyle w:val="ad"/>
        <w:shd w:val="clear" w:color="auto" w:fill="FFFFFF"/>
        <w:spacing w:after="80" w:line="360" w:lineRule="auto"/>
        <w:jc w:val="both"/>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זאת ועוד. קשה להלום טענת המערער כי במשך כשלוש שנות זוגיות הצדדים רק "התארחו" מעת לעת בבית הורי בן הזוג האחר, וכי מערכת היחסים בינו לבין המשיבה לא יועדה להקמת תא משפחתי או כי לא חשבו למסד את הזוגיות ביניהם. זאת, מאחר שהצדדים היו בקשר ממושך וכבר החלו במימוש מעשי של הפריית ביציותיה של המשיבה בזרעו של המערער. זה האחרון ליווה את המשיבה לפגישה אצל פרופ' לויטס, ערך רישומים מתאימים ואף הגיע לאחר מכן להליך מימוש הוצאת הזרע מגופו לצורך הליך ההפריה. מהות הקשר הזוגי ועוצמתו איננה מבשרת כי המערער לא ראה את עתידו עם המשיבה. לאור זאת, ובשים לב לקביעותיו העובדתיות של בית משפט קמא, אך טבעי היה שהמערערת חשבה כי אין סיבה להעדיף שימור ביציות לבדן, להבדיל מביציות מופרות בזרעו של המערער.</w:t>
      </w:r>
    </w:p>
    <w:p w:rsidR="006D7615" w:rsidRDefault="006D7615" w:rsidP="006D7615">
      <w:pPr>
        <w:pStyle w:val="ad"/>
        <w:shd w:val="clear" w:color="auto" w:fill="FFFFFF"/>
        <w:spacing w:after="80" w:line="360" w:lineRule="auto"/>
        <w:jc w:val="both"/>
        <w:rPr>
          <w:rFonts w:ascii="David" w:hAnsi="David"/>
          <w:color w:val="000000"/>
        </w:rPr>
      </w:pPr>
    </w:p>
    <w:p w:rsidR="006D7615" w:rsidRDefault="006D7615" w:rsidP="006D7615">
      <w:pPr>
        <w:shd w:val="clear" w:color="auto" w:fill="FFFFFF"/>
        <w:spacing w:after="80" w:line="360" w:lineRule="auto"/>
        <w:jc w:val="both"/>
        <w:rPr>
          <w:rFonts w:ascii="David" w:hAnsi="David"/>
          <w:b/>
          <w:bCs/>
          <w:color w:val="000000"/>
          <w:u w:val="single"/>
        </w:rPr>
      </w:pPr>
      <w:r>
        <w:rPr>
          <w:rFonts w:ascii="David" w:hAnsi="David"/>
          <w:b/>
          <w:bCs/>
          <w:color w:val="000000"/>
          <w:u w:val="single"/>
          <w:rtl/>
        </w:rPr>
        <w:t>עיקר העיקרים - מצגי המערער החיצוניים פגמו באפשרות קבלת החלטה מושכלת מצד המשיבה עובר לביצוע ההפריה</w:t>
      </w:r>
    </w:p>
    <w:p w:rsidR="006D7615" w:rsidRDefault="006D7615" w:rsidP="006D7615">
      <w:pPr>
        <w:shd w:val="clear" w:color="auto" w:fill="FFFFFF"/>
        <w:spacing w:after="80" w:line="360" w:lineRule="auto"/>
        <w:jc w:val="both"/>
        <w:rPr>
          <w:rFonts w:ascii="David" w:hAnsi="David"/>
          <w:b/>
          <w:bCs/>
          <w:color w:val="000000"/>
          <w:u w:val="single"/>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אל מקום שמסקנותיי לעיל הולכות, שם הן שבות ללכת. קיבוצם של כל אשר הונח לעיל משיב את הדיון אל גרעינה ושיעורה של הסוגיה הטעונה הכרעה בשאלת הסכמת המערער והמשיבה, מזה ומזה. </w:t>
      </w:r>
    </w:p>
    <w:p w:rsidR="006D7615" w:rsidRDefault="006D7615" w:rsidP="006D7615">
      <w:pPr>
        <w:pStyle w:val="ad"/>
        <w:shd w:val="clear" w:color="auto" w:fill="FFFFFF"/>
        <w:spacing w:after="80" w:line="360" w:lineRule="auto"/>
        <w:jc w:val="both"/>
        <w:rPr>
          <w:rFonts w:ascii="David" w:hAnsi="David"/>
          <w:color w:val="000000"/>
          <w:rtl/>
        </w:rPr>
      </w:pPr>
      <w:r>
        <w:rPr>
          <w:rFonts w:ascii="David" w:hAnsi="David"/>
          <w:color w:val="000000"/>
          <w:rtl/>
        </w:rPr>
        <w:lastRenderedPageBreak/>
        <w:t xml:space="preserve">  </w:t>
      </w: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פרופ' לויטס העיד כי סיכויי ביציות מופרות בזרע, דהיינו עובר, לשרוד, גבוהה יותר מסיכויי ביציות לבדן לשרוד (עמ' 10 לפרו' שו' 20-18). אף מוכן אני להניח, חרף מסקנתי לעיל ולמרות שפרופ' לויטס לא זכר את המערער והמשיבה, כי פרופ' לויטס הבהיר לצדדים כי נדרשת הסכמת שניהם בכל שלב של התהליך, לרבות בשלב ההחזרה לרחם. ואולם, דווקא לאור צירופם של דברים - שרידות גבוהה יותר לעובר לעומת ביציות לא מופרות, וכן ידיעת הצדדים כי הסכמת שניהם נדרשת עד סוף התהליך - הדעת נותנת שהמשיבה לא הייתה מסכימה להפרות את ביציותיה, בוודאי לא את כולן, בזרעו של המערער, אילו ידעה כי כבר ברגע הוצאת הזרע מגופו של המערער הוא סבר כי התערערו יחסי הזוגיות ביניהם, כמבואר לעיל.</w:t>
      </w:r>
    </w:p>
    <w:p w:rsidR="006D7615" w:rsidRDefault="006D7615" w:rsidP="006D7615">
      <w:pPr>
        <w:pStyle w:val="ad"/>
        <w:shd w:val="clear" w:color="auto" w:fill="FFFFFF"/>
        <w:spacing w:after="80" w:line="360" w:lineRule="auto"/>
        <w:jc w:val="both"/>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ביסוד ההתקשרות בין הצדדים, בחתימתם על ה"תצהיר", מונחת האוטונומיה של הרצון הפרטי, ובכלל זאת, אפשרות הבחירה המודעת האם להתקשר ביניהם, ומה תהא מתכונת ההתקשרות ותנאיה. אף אם אפשר שמבחינה סובייקטיבית אחד הצדדים לא גמר אומר בדעתו להתקשר עם הצד שכנגד בהתאם לאמור בחוזה, אך מצג זה לא קיבל ביטוי פוזיטיבי חיצוני ומדבריו או מהתנהגותו ניתן היה להסיק באורח סביר גמירת דעת להתקשר עם הצד השני באופן בו כתובים הדברים בחוזה, כי אז מאליו מובן שיש לבכר את הגילוי החיצוני של ההסכמה על פני הכוונה הסובייקטיבית הנעלמת של החותם. בכך ניתן משקל לוודאות החוזית ולאינטרס ההסתמכות, חלף בחינת כליות ולב.</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בענייננו. המערער טען כזכור כי כבר עם שאיבת הזרע מגופו חש כי "</w:t>
      </w:r>
      <w:r>
        <w:rPr>
          <w:rFonts w:ascii="David" w:hAnsi="David"/>
          <w:b/>
          <w:bCs/>
          <w:color w:val="000000"/>
          <w:rtl/>
        </w:rPr>
        <w:t>התערערו יחסי הזוגיות בינינו</w:t>
      </w:r>
      <w:r>
        <w:rPr>
          <w:rFonts w:ascii="David" w:hAnsi="David"/>
          <w:color w:val="000000"/>
          <w:rtl/>
        </w:rPr>
        <w:t>" (סעיף 16 לתצהיר עדותו הראשית). לדבריו, בו ביום שיתף את אמו "בתחושותיי הקשות" והיא הצליחה להרגיעו כי ממילא ללא הסכמתו לא תוכל המשיבה לעשות שימוש בביציות המופרות (שם, שם). משמע, אפוא, כי לא היה מדובר רק בהרהורי לב בלבד שהיו למבקש אותה עת, כי אם ב"תחושות קשות" אשר בעקבותיהן התקשר לאמו שאמרה לו כי בכוחו להתחרט עד סוף התהליך. חרף כל זאת. המערער לא שיתף את המשיבה בתחושותיו אלא כאמור רק את אמו. המערער טען בחקירתו, "</w:t>
      </w:r>
      <w:r>
        <w:rPr>
          <w:rFonts w:ascii="David" w:hAnsi="David"/>
          <w:b/>
          <w:bCs/>
          <w:color w:val="000000"/>
          <w:rtl/>
        </w:rPr>
        <w:t>אני לא, לא יודע למה לא אמרתי לה באותו זמן</w:t>
      </w:r>
      <w:r>
        <w:rPr>
          <w:rFonts w:ascii="David" w:hAnsi="David"/>
          <w:color w:val="000000"/>
          <w:rtl/>
        </w:rPr>
        <w:t>" (עמ' 24 לפרו' מיום 31.1.22 שו' 18-15; שם, עמ' 38 שו' 44-33). תוך שהוסיף "</w:t>
      </w:r>
      <w:r>
        <w:rPr>
          <w:rFonts w:ascii="David" w:hAnsi="David"/>
          <w:b/>
          <w:bCs/>
          <w:color w:val="000000"/>
          <w:rtl/>
        </w:rPr>
        <w:t>לא ידעתי איך לעשות את זה... רציתי לעשות את זה, כן, אבל לא הצלחתי לעשות את זה, לא היה לי את ה... לא ידעתי איך לעשות את זה</w:t>
      </w:r>
      <w:r>
        <w:rPr>
          <w:rFonts w:ascii="David" w:hAnsi="David"/>
          <w:color w:val="000000"/>
          <w:rtl/>
        </w:rPr>
        <w:t xml:space="preserve">" (שם, עמ' 40 שו' 35-30). אילו היה המערער משקף בפני המשיבה את תחושותיו אותה עת, עובר להפריית הביציות, היה בידה לקבל החלטה מושכלת האם להפרות את הביציות, כולן או חלקן, בזרעו של המערער. כאמור, הדעת נותנת כי המשיבה לא הייתה עושה כן למרות העובדה כי סיכויי שרידות ביציות לא מופרות קטנים יותר מסיכויי שרידות ביציות מופרות. מוטב היה למשיבה </w:t>
      </w:r>
      <w:r>
        <w:rPr>
          <w:rFonts w:ascii="David" w:hAnsi="David"/>
          <w:color w:val="000000"/>
          <w:rtl/>
        </w:rPr>
        <w:lastRenderedPageBreak/>
        <w:t>להותיר לעצמה סיכוי, שכן, לשאלת בית המשפט השיב פרופ' לויטס "</w:t>
      </w:r>
      <w:r>
        <w:rPr>
          <w:rFonts w:ascii="David" w:hAnsi="David"/>
          <w:b/>
          <w:bCs/>
          <w:color w:val="000000"/>
          <w:rtl/>
        </w:rPr>
        <w:t>אם יש רק ביציות, אני משיב שהביציות הן שלה, והיא יכולה לעשות אתן מה שהיא רוצה</w:t>
      </w:r>
      <w:r>
        <w:rPr>
          <w:rFonts w:ascii="David" w:hAnsi="David"/>
          <w:color w:val="000000"/>
          <w:rtl/>
        </w:rPr>
        <w:t>" (עמ' 10 לפרו' שו' 27-26). בפרט נכון הדבר אם אומנם נאמר לבני הזוג שנדרשת הסכמתם בכל שלב של התהליך, לרבות בשלב של ההחזרה לרחם. זאת. מאחר שאילו הייתה המשיבה ערה לצפונות ליבו של המערער ולסערת הנפש הפנימית שהתחוללה בקרבו לאחר שלדבריו חש כי התערערו יחסי הזוגיות ביניהם והוא חש "</w:t>
      </w:r>
      <w:r>
        <w:rPr>
          <w:rFonts w:ascii="David" w:hAnsi="David"/>
          <w:b/>
          <w:bCs/>
          <w:color w:val="000000"/>
          <w:rtl/>
        </w:rPr>
        <w:t>מובך, מושפל ומנוצל...כפרה שחולבים אותה ביד גסה</w:t>
      </w:r>
      <w:r>
        <w:rPr>
          <w:rFonts w:ascii="David" w:hAnsi="David"/>
          <w:color w:val="000000"/>
          <w:rtl/>
        </w:rPr>
        <w:t>" (סעיף 16 לתצהירו), אין להניח כי הייתה פועלת כאמור להפרות את כלל ביציותיה בזרעו.</w:t>
      </w:r>
    </w:p>
    <w:p w:rsidR="006D7615" w:rsidRDefault="006D7615" w:rsidP="006D7615">
      <w:pPr>
        <w:pStyle w:val="ad"/>
        <w:shd w:val="clear" w:color="auto" w:fill="FFFFFF"/>
        <w:spacing w:before="240" w:after="80" w:line="360" w:lineRule="auto"/>
        <w:jc w:val="both"/>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בנסיבות אלה, אף אם נדרשת הסכמתו של המערער בכל שלבי התהליך, לרבות בשלב ההחדרה חזרה לרחם, הרי משהמערער פגע בהסכמתה מדעת של המשיבה, כך שבעת החלטתה על ההפריה הסתיר ממנה את מלוא המידע הדרוש לה באופן סביר לשם גיבוש החלטה מושכלת האם להפרות את הביציות, כולן או חלקן, בזרעו, הרי שבמערך היחסים שבין הצדדים, סבורני כי הכף נוטה במובהק לעבר העדפת זכותה. </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חברתי, כב' השופטת לוין, מעניקה דגש רב ליסוד ההסכמה ולכך שאין לפגום בזכותו של המערער לחזור בו עד שלב ההחדרה לרחם, כאשר כך סברו וידעו הצדדים. לדידי, מרכז הכובד הוא אחר: אין מקום להעדיף את מי שהסכמתו נדרשת עד סוף התהליך כאשר הוא עצמו פגע באפשרות קבלת הסכמה מדעת של הצד שכנגד. מתוך שכך, אני וחברתי חלוקים על יישום עיקרון 'השתק ההבטחה' בגדרי המקרה דנא.</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בהלכה הפסוקה נקבע כי מי שנתן הבטחה לזולתו, בידיעה שהלה מתכוון לסמוך עליה ולפעול על פיה, והוא אומנם פועל על פיה ומשנה מצבו לרעה, אין למבטיח חזרה ממנה. 'השתק ההבטחה' מתייחס להיצגים מצדו של המערער, אשר עניינם בביצוע כלפי העתיד. הבסיס לחיוב איננו ה"תצהיר" עליו חתמו, כי אם ההסתמכות הסבירה המאוחרת של מקבלת ההבטחה, המשיבה. </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בדנ"א נחמני דובר בזוג, דני ורותי, אשר החליטו להביא ילד לעולם בהפריה חוץ גופית. הביציות שהוצאו מגופה של רותי הופרו בזרעו של דני והוקפאו בבית החולים. לאחר מכן, בני הזוג התקשרו עם מוסד בארצות הברית לשם איתור פונדקאית שתישא את ילדם, אלא שטרם שעלה הדבר בידם עזב דני את הבית, הקים משפחה חדשה והוליד בת בעודו נשוי לרותי. בנסיבות אלה, נדרשו השופטים לשאלה האם דני מושתק לחזור בו לאור טענת רותי כי דני הציג לפניה מצג לפיו תהליך ההפריה יימשך, ובכלל זה ההשתלה, גם אם הם ייפרדו </w:t>
      </w:r>
      <w:r>
        <w:rPr>
          <w:rFonts w:ascii="David" w:hAnsi="David"/>
          <w:color w:val="000000"/>
          <w:rtl/>
        </w:rPr>
        <w:lastRenderedPageBreak/>
        <w:t>זה מזה. לא עלתה טענה, כבענייננו, כי בשלב כלשהו דני הסתיר מרותי את תחושותיו לגבי מידת הקשר ביניהם.</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להבדיל מכך. בענייננו נקבע כאמור כי המערער הסתיר מהמשיבה, עובר להפריית הביציות, את תחושתו כי יחסי הזוגיות ביניהם התערערו, ומתוך שכך, כי מחשבותיו נתונות אך לשאלה "</w:t>
      </w:r>
      <w:r>
        <w:rPr>
          <w:rFonts w:ascii="David" w:hAnsi="David"/>
          <w:b/>
          <w:bCs/>
          <w:color w:val="000000"/>
          <w:rtl/>
        </w:rPr>
        <w:t>איך יוצאים מזה עכשיו?</w:t>
      </w:r>
      <w:r>
        <w:rPr>
          <w:rFonts w:ascii="David" w:hAnsi="David"/>
          <w:color w:val="000000"/>
          <w:rtl/>
        </w:rPr>
        <w:t>" (סעיף 16 לתצהירו). כאשר נוטלים בחשבון את השלב שבו היה מצוי התהליך הרפואי, את המצג שהמערער יצר והציפיות שעורר כלפי המשיבה, את הסתמכות המשיבה על כך ואת העדר החלופות למימוש זכותה להורות, סבורני כי המערער שפעל בחוסר תום לב מושתק לחזור בו מכוח עקרון ההסתמכות הסבירה. המשיבה עברה תהליך רפואי ארוך, מורכב ומפרך להוצאת הביציות מגופה, תוך שהצדדים הבינו וידעו כי אפשר שזו ההזדמנות האחרונה שלה להביא לעולם ילד, פרי מטענה הגנטי. במצג החיצוני שיצר המערער כלפי המשיבה, הוא גרם לה להסתמך על כך באופן שהוביל לשינוי מצבה לרעה. כיום, שימוש באם נושאת מהווה את האפשרות היחידה של המשיבה לממש זכותה להורות, באמצעות מטענה הגנטי. לטעמי, בכך נתקיימו היסודות להשתק הבטחה כמאמר כב' השופט צ' טל בעניין דנ"א נחמני.</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בדנ"א נחמני כב' השופטת ד' דורנר הוסיפה וקבעה: </w:t>
      </w:r>
    </w:p>
    <w:p w:rsidR="006D7615" w:rsidRDefault="006D7615" w:rsidP="006D7615">
      <w:pPr>
        <w:shd w:val="clear" w:color="auto" w:fill="FFFFFF"/>
        <w:spacing w:before="240" w:after="80" w:line="360" w:lineRule="auto"/>
        <w:ind w:left="720"/>
        <w:jc w:val="both"/>
        <w:rPr>
          <w:rFonts w:ascii="David" w:hAnsi="David"/>
          <w:color w:val="000000"/>
        </w:rPr>
      </w:pPr>
      <w:r>
        <w:rPr>
          <w:rFonts w:ascii="David" w:hAnsi="David"/>
          <w:color w:val="000000"/>
          <w:rtl/>
        </w:rPr>
        <w:t>"</w:t>
      </w:r>
      <w:r>
        <w:rPr>
          <w:rFonts w:ascii="David" w:hAnsi="David"/>
          <w:b/>
          <w:bCs/>
          <w:color w:val="000000"/>
          <w:rtl/>
        </w:rPr>
        <w:t>השתק מכוח מצג מונע צד מלהתכחש למצג שהציג לפני צד אחר, אם אותו צד הסתמך על המצג בתום לב ובאופן סביר ושינה עקב כך את מצבו לרעה. במשפטנו אפשר לראות את תורת ההשתק - שנקלטה מן המשפט האנגלי - כפן של עקרון תום הלב, שהוא עקרון יסוד בשיטתנו... יחד עם זאת, לשיטתי, ההכרעה בין זכויות הצדדים אינה מבוססת על השתק כשלעצמו. מצגים שהציגו בני זוג זה כלפי זה (לרבות התקשרותם בהסכם), שיצרו הסתמכויות ולעתים אף ציפיות גרידא, עשויים להוות שיקול במסגרת האיזון בין זכויות הצדדים... בענייננו, בעקבות הסכמת הבעל לתהליך, לרבות עידודו את האישה לעבור את הניתוח המצומצם ואת ההפריה, עברה האישה את טיפולי ההפריה הקשים בזרעו ולא נזקקה, למשל, לתרומת זרע אנונימית... שינוי לרעה זה במצב האישה הוא שיקול נכבד באיזון האינטרסים בין בני הזוג, אף אם לא הוכח כי הבעל חפץ להפוך לאבי ילדה של האישה גם אם ייפרדו... אינו דומה מצב של סירוב להמשיך בתהליך של הפריה כאשר בן הזוג יכול לקיימו עם שותף אחר, למצב שבו סירוב יגזור עקרות על בן הזוג השני. ככל שהחלופות האפשריות העומדות לפני בן הזוג המבקש להיות הורה פוחתות, כך גובר הצורך להגן על זכותו להורות גם במחיר הסגת זכותו של בן הזוג האחר. לשיקול זה נוסף משקל של צדק בענייננו, שכן בן הזוג שאינו מעוניין בהמשך התהליך – הבעל – זכה לילדה משלו במשפחה אחרת שהקים</w:t>
      </w:r>
      <w:r>
        <w:rPr>
          <w:rFonts w:ascii="David" w:hAnsi="David"/>
          <w:color w:val="000000"/>
          <w:rtl/>
        </w:rPr>
        <w:t xml:space="preserve">" (לעניין השוואת נזקה של רותי, במקרה שייאסר עליה </w:t>
      </w:r>
      <w:r>
        <w:rPr>
          <w:rFonts w:ascii="David" w:hAnsi="David"/>
          <w:color w:val="000000"/>
          <w:rtl/>
        </w:rPr>
        <w:lastRenderedPageBreak/>
        <w:t>להשתמש בביציות, לעומת הנזק שייגרם לדני אם ייהפך להורה בעל כורחו, ראו אף חוות דעתו של כב' השופט גולדברג באותו עניין, אשר סבר כי הפתרון הצודק הוא "</w:t>
      </w:r>
      <w:r>
        <w:rPr>
          <w:rFonts w:ascii="David" w:hAnsi="David"/>
          <w:b/>
          <w:bCs/>
          <w:color w:val="000000"/>
          <w:rtl/>
        </w:rPr>
        <w:t>הרע במיעוטו</w:t>
      </w:r>
      <w:r>
        <w:rPr>
          <w:rFonts w:ascii="David" w:hAnsi="David"/>
          <w:color w:val="000000"/>
          <w:rtl/>
        </w:rPr>
        <w:t>". על כן, העדיף את עמדתה של רותי למול דני).</w:t>
      </w:r>
    </w:p>
    <w:p w:rsidR="006D7615" w:rsidRDefault="006D7615" w:rsidP="006D7615">
      <w:pPr>
        <w:pStyle w:val="ad"/>
        <w:shd w:val="clear" w:color="auto" w:fill="FFFFFF"/>
        <w:spacing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אכן. כאשר הצדדים החליטו להפרות את הביציות בזרעו של המערער, הם יכולים היו להניח, כדרכו של עולם, כי אפשר שבבוא יום ייפרדו, ואזי, אם נדרשת הסכמת המערער עד לסוף התהליך, לא מן הנמנע כי יסרב לעשות כן לאחר הפירוד ביניהם. סיכון זה נטלה המשיבה במניין שיקוליה עובר להפריית ביציותיה בזרעו של המערער. לא כך ביחס לתחושתו של המערער, עוד בטרם הפריית הביציות, כי התערערו ביניהם יחסי הזוגיות. אילו הייתה יודעת זאת, כמו גם כי המערער מתלבט "</w:t>
      </w:r>
      <w:r>
        <w:rPr>
          <w:rFonts w:ascii="David" w:hAnsi="David"/>
          <w:b/>
          <w:bCs/>
          <w:color w:val="000000"/>
          <w:rtl/>
        </w:rPr>
        <w:t>איך יוצאים מזה עכשיו?</w:t>
      </w:r>
      <w:r>
        <w:rPr>
          <w:rFonts w:ascii="David" w:hAnsi="David"/>
          <w:color w:val="000000"/>
          <w:rtl/>
        </w:rPr>
        <w:t>" וכי אף שיתף את אמו בנדון (סעיף 16 לתצהירו), כבר ציינתי כי חזקה שהייתה שוקלת קבלת החלטה אחרת. לכך יש לצרף את העובדה כי אם סבר המערער שבעת שהוציא את הזרע מגופו, "</w:t>
      </w:r>
      <w:r>
        <w:rPr>
          <w:rFonts w:ascii="David" w:hAnsi="David"/>
          <w:b/>
          <w:bCs/>
          <w:color w:val="000000"/>
          <w:rtl/>
        </w:rPr>
        <w:t>התערערו יחסי הזוגיות בינינו</w:t>
      </w:r>
      <w:r>
        <w:rPr>
          <w:rFonts w:ascii="David" w:hAnsi="David"/>
          <w:color w:val="000000"/>
          <w:rtl/>
        </w:rPr>
        <w:t>", וכי הוא חש "</w:t>
      </w:r>
      <w:r>
        <w:rPr>
          <w:rFonts w:ascii="David" w:hAnsi="David"/>
          <w:b/>
          <w:bCs/>
          <w:color w:val="000000"/>
          <w:rtl/>
        </w:rPr>
        <w:t>מובך, מושפל ומנוצל... כפרה שחולבים אותה ביד גסה</w:t>
      </w:r>
      <w:r>
        <w:rPr>
          <w:rFonts w:ascii="David" w:hAnsi="David"/>
          <w:color w:val="000000"/>
          <w:rtl/>
        </w:rPr>
        <w:t xml:space="preserve">" (שם, שם), דבר לא מנע ממנו להפסיק תהליך זה שבוצע על ידו. המערער לא הפסיק זאת וכאמור אף לא שיתף את המשיבה בתחושותיו.   </w:t>
      </w:r>
    </w:p>
    <w:p w:rsidR="006D7615" w:rsidRDefault="006D7615" w:rsidP="006D7615">
      <w:pPr>
        <w:pStyle w:val="ad"/>
        <w:shd w:val="clear" w:color="auto" w:fill="FFFFFF"/>
        <w:spacing w:before="240" w:after="80" w:line="360" w:lineRule="auto"/>
        <w:jc w:val="both"/>
        <w:rPr>
          <w:rFonts w:ascii="David" w:hAnsi="David"/>
          <w:color w:val="000000"/>
          <w:rtl/>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טרם סיום ייאמר כי שלא כקביעת בית משפט קמא, שותף אני למסקנת חברתי, כב' השופטת לוין כי אין ללמוד היקש מהוראת סעיף 7 ל"תצהיר" עליו חתמו הצדדים, שכן, עניינו של אותו סעיף סב אחר היעלמות או פטירה של מי מהצדדים, להבדיל ממצב בו הצדדים חיים ולעמדתם ראוי כי יינתן משקל, בין להורות ובין לאי הורות.</w:t>
      </w:r>
    </w:p>
    <w:p w:rsidR="006D7615" w:rsidRDefault="006D7615" w:rsidP="006D7615">
      <w:pPr>
        <w:pStyle w:val="ad"/>
        <w:shd w:val="clear" w:color="auto" w:fill="FFFFFF"/>
        <w:spacing w:before="240" w:after="80" w:line="360" w:lineRule="auto"/>
        <w:jc w:val="both"/>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Pr>
      </w:pPr>
      <w:r>
        <w:rPr>
          <w:rFonts w:ascii="David" w:hAnsi="David"/>
          <w:color w:val="000000"/>
          <w:rtl/>
        </w:rPr>
        <w:t>מכל האמור לעיל. אינני סבור כי יש מקום להתערב בתוצאת פסק דינו של בית משפט קמא, בהתאם למתווה שהוצע על ידי היועמ"שית וכנוסח הדברים שפורט בסעיף 107 לפסק הדין.</w:t>
      </w:r>
    </w:p>
    <w:p w:rsidR="006D7615" w:rsidRDefault="006D7615" w:rsidP="006D7615">
      <w:pPr>
        <w:pStyle w:val="ad"/>
        <w:rPr>
          <w:rFonts w:ascii="David" w:hAnsi="David"/>
          <w:color w:val="000000"/>
        </w:rPr>
      </w:pPr>
    </w:p>
    <w:p w:rsidR="006D7615" w:rsidRDefault="006D7615" w:rsidP="006D7615">
      <w:pPr>
        <w:pStyle w:val="ad"/>
        <w:numPr>
          <w:ilvl w:val="0"/>
          <w:numId w:val="3"/>
        </w:numPr>
        <w:shd w:val="clear" w:color="auto" w:fill="FFFFFF"/>
        <w:spacing w:after="80" w:line="360" w:lineRule="auto"/>
        <w:jc w:val="both"/>
        <w:rPr>
          <w:rFonts w:ascii="David" w:hAnsi="David"/>
          <w:color w:val="000000"/>
          <w:rtl/>
        </w:rPr>
      </w:pPr>
      <w:r>
        <w:rPr>
          <w:rFonts w:ascii="David" w:hAnsi="David"/>
          <w:color w:val="000000"/>
          <w:rtl/>
        </w:rPr>
        <w:t xml:space="preserve">בית משפט קמא חתם פסק דינו באמירה אישית, וב"הקלה" שחש נוכח תוצאת ההליך. בבג"ץ 7157/95 </w:t>
      </w:r>
      <w:r>
        <w:rPr>
          <w:rFonts w:ascii="David" w:hAnsi="David"/>
          <w:b/>
          <w:bCs/>
          <w:color w:val="000000"/>
          <w:u w:val="single"/>
          <w:rtl/>
        </w:rPr>
        <w:t>נאוה ארד נ' יושב ראש הכנסת ואח'</w:t>
      </w:r>
      <w:r>
        <w:rPr>
          <w:rFonts w:ascii="David" w:hAnsi="David"/>
          <w:color w:val="000000"/>
          <w:rtl/>
        </w:rPr>
        <w:t>, פ"ד נ(1) 592-591 (1996), קבע כב' הנשיא א' ברק (כתוארו אז): "</w:t>
      </w:r>
      <w:r>
        <w:rPr>
          <w:rFonts w:ascii="David" w:hAnsi="David"/>
          <w:b/>
          <w:bCs/>
          <w:color w:val="000000"/>
          <w:rtl/>
        </w:rPr>
        <w:t xml:space="preserve">אינטואיציה אינה תחליף לאינטלקט. האינטואיציה חייבת להיות מבוססת, והיא צריכה להיות מסוגלת לשכנע. האינטואיציה היא ניצוץ העשוי להאיר את הדרך הראויה. אין היא הדרך עצמה. האינטואיציה צריכה להיות מבוקרת". </w:t>
      </w:r>
      <w:r>
        <w:rPr>
          <w:rFonts w:ascii="David" w:hAnsi="David"/>
          <w:color w:val="000000"/>
          <w:rtl/>
        </w:rPr>
        <w:t>דומה כי לכך כיוון בית משפט קמא בדבריו. בנסיבות העניין, אציע לא לעשות צו להוצאות.</w:t>
      </w:r>
    </w:p>
    <w:p w:rsidR="006D7615" w:rsidRDefault="006D7615" w:rsidP="006D7615">
      <w:pPr>
        <w:rPr>
          <w:rFonts w:ascii="David" w:hAnsi="David"/>
        </w:rPr>
      </w:pPr>
    </w:p>
    <w:tbl>
      <w:tblPr>
        <w:tblStyle w:val="a9"/>
        <w:bidiVisual/>
        <w:tblW w:w="2454" w:type="dxa"/>
        <w:tblInd w:w="5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2218"/>
      </w:tblGrid>
      <w:tr w:rsidR="006D7615" w:rsidTr="00D91FA9">
        <w:tc>
          <w:tcPr>
            <w:tcW w:w="236" w:type="dxa"/>
            <w:vAlign w:val="center"/>
          </w:tcPr>
          <w:p w:rsidR="006D7615" w:rsidRDefault="006D7615" w:rsidP="00D91FA9">
            <w:pPr>
              <w:jc w:val="center"/>
              <w:rPr>
                <w:rFonts w:ascii="David" w:hAnsi="David"/>
                <w:b/>
                <w:bCs/>
                <w:rtl/>
              </w:rPr>
            </w:pPr>
          </w:p>
        </w:tc>
        <w:tc>
          <w:tcPr>
            <w:tcW w:w="2218" w:type="dxa"/>
            <w:tcBorders>
              <w:top w:val="nil"/>
              <w:left w:val="nil"/>
              <w:bottom w:val="single" w:sz="4" w:space="0" w:color="auto"/>
              <w:right w:val="nil"/>
            </w:tcBorders>
            <w:vAlign w:val="center"/>
            <w:hideMark/>
          </w:tcPr>
          <w:p w:rsidR="006D7615" w:rsidRDefault="006D7615" w:rsidP="00D91FA9">
            <w:pPr>
              <w:jc w:val="center"/>
              <w:rPr>
                <w:rFonts w:ascii="David" w:hAnsi="David"/>
                <w:b/>
                <w:bCs/>
                <w:sz w:val="20"/>
                <w:szCs w:val="20"/>
                <w:rtl/>
              </w:rPr>
            </w:pPr>
            <w:r>
              <w:rPr>
                <w:rFonts w:ascii="David" w:hAnsi="David"/>
              </w:rPr>
              <w:drawing>
                <wp:inline distT="0" distB="0" distL="0" distR="0">
                  <wp:extent cx="971550" cy="314325"/>
                  <wp:effectExtent l="0" t="0" r="0" b="952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14325"/>
                          </a:xfrm>
                          <a:prstGeom prst="rect">
                            <a:avLst/>
                          </a:prstGeom>
                          <a:noFill/>
                          <a:ln>
                            <a:noFill/>
                          </a:ln>
                        </pic:spPr>
                      </pic:pic>
                    </a:graphicData>
                  </a:graphic>
                </wp:inline>
              </w:drawing>
            </w:r>
          </w:p>
        </w:tc>
      </w:tr>
      <w:tr w:rsidR="006D7615" w:rsidTr="00D91FA9">
        <w:tc>
          <w:tcPr>
            <w:tcW w:w="236" w:type="dxa"/>
          </w:tcPr>
          <w:p w:rsidR="006D7615" w:rsidRDefault="006D7615" w:rsidP="00D91FA9">
            <w:pPr>
              <w:jc w:val="center"/>
              <w:rPr>
                <w:rFonts w:ascii="David" w:hAnsi="David"/>
                <w:b/>
                <w:bCs/>
              </w:rPr>
            </w:pPr>
          </w:p>
        </w:tc>
        <w:tc>
          <w:tcPr>
            <w:tcW w:w="2218" w:type="dxa"/>
            <w:tcBorders>
              <w:top w:val="single" w:sz="4" w:space="0" w:color="auto"/>
              <w:left w:val="nil"/>
              <w:bottom w:val="nil"/>
              <w:right w:val="nil"/>
            </w:tcBorders>
            <w:hideMark/>
          </w:tcPr>
          <w:p w:rsidR="006D7615" w:rsidRDefault="000D68D0" w:rsidP="00D91FA9">
            <w:pPr>
              <w:jc w:val="center"/>
              <w:rPr>
                <w:rFonts w:ascii="David" w:hAnsi="David"/>
                <w:b/>
                <w:bCs/>
              </w:rPr>
            </w:pPr>
            <w:sdt>
              <w:sdtPr>
                <w:rPr>
                  <w:rFonts w:ascii="David" w:hAnsi="David"/>
                  <w:b/>
                  <w:bCs/>
                  <w:rtl/>
                </w:rPr>
                <w:alias w:val="2141"/>
                <w:tag w:val="2141"/>
                <w:id w:val="2119712613"/>
                <w:placeholder>
                  <w:docPart w:val="2FFB4C422678450AA8F963A0A1700447"/>
                </w:placeholder>
                <w:text w:multiLine="1"/>
              </w:sdtPr>
              <w:sdtEndPr/>
              <w:sdtContent>
                <w:r w:rsidR="006D7615">
                  <w:rPr>
                    <w:rFonts w:ascii="David" w:hAnsi="David"/>
                    <w:b/>
                    <w:bCs/>
                    <w:rtl/>
                  </w:rPr>
                  <w:t>יעקב דנינו</w:t>
                </w:r>
              </w:sdtContent>
            </w:sdt>
            <w:r w:rsidR="006D7615">
              <w:rPr>
                <w:rFonts w:ascii="David" w:hAnsi="David"/>
                <w:b/>
                <w:bCs/>
                <w:rtl/>
              </w:rPr>
              <w:t xml:space="preserve">, </w:t>
            </w:r>
            <w:sdt>
              <w:sdtPr>
                <w:rPr>
                  <w:rFonts w:ascii="David" w:hAnsi="David"/>
                  <w:b/>
                  <w:bCs/>
                  <w:rtl/>
                </w:rPr>
                <w:alias w:val="2143"/>
                <w:tag w:val="2143"/>
                <w:id w:val="1647695366"/>
                <w:placeholder>
                  <w:docPart w:val="70765864B28F4D37BAF5D8F33A19F34C"/>
                </w:placeholder>
                <w:text w:multiLine="1"/>
              </w:sdtPr>
              <w:sdtEndPr/>
              <w:sdtContent>
                <w:r w:rsidR="006D7615">
                  <w:rPr>
                    <w:rFonts w:ascii="David" w:hAnsi="David"/>
                    <w:b/>
                    <w:bCs/>
                    <w:rtl/>
                  </w:rPr>
                  <w:t>שופט</w:t>
                </w:r>
              </w:sdtContent>
            </w:sdt>
          </w:p>
        </w:tc>
      </w:tr>
    </w:tbl>
    <w:p w:rsidR="006D7615" w:rsidRDefault="006D7615" w:rsidP="006D7615"/>
    <w:p w:rsidR="006D7615" w:rsidRDefault="006D7615" w:rsidP="006D7615">
      <w:pPr>
        <w:spacing w:line="360" w:lineRule="auto"/>
        <w:jc w:val="both"/>
        <w:rPr>
          <w:rFonts w:ascii="Arial" w:hAnsi="Arial"/>
          <w:noProof w:val="0"/>
        </w:rPr>
      </w:pPr>
      <w:r>
        <w:rPr>
          <w:rFonts w:ascii="Arial" w:hAnsi="Arial"/>
          <w:b/>
          <w:bCs/>
          <w:noProof w:val="0"/>
          <w:u w:val="single"/>
          <w:rtl/>
        </w:rPr>
        <w:t>כב' השופטת פ' גילת כהן:</w:t>
      </w:r>
    </w:p>
    <w:p w:rsidR="006D7615" w:rsidRDefault="006D7615" w:rsidP="006D7615">
      <w:pPr>
        <w:pStyle w:val="ad"/>
        <w:numPr>
          <w:ilvl w:val="0"/>
          <w:numId w:val="4"/>
        </w:numPr>
        <w:spacing w:before="120" w:line="360" w:lineRule="auto"/>
        <w:ind w:left="509" w:hanging="425"/>
        <w:jc w:val="both"/>
        <w:rPr>
          <w:rFonts w:ascii="David" w:hAnsi="David"/>
          <w:noProof w:val="0"/>
        </w:rPr>
      </w:pPr>
      <w:r>
        <w:rPr>
          <w:rFonts w:ascii="David" w:hAnsi="David"/>
          <w:rtl/>
        </w:rPr>
        <w:t>לאחר עיון בכל אשר הוגש לפנינו, שמיעת עדותו של פרופ' לויטס ועיון בחוות דעתם המקיפות של חבריי, מצרפת אני דעתי לדעת חברתי, כב' השופטת ג. לוין, למסקנותיה ולתוצאה אליה הגיעה.</w:t>
      </w:r>
    </w:p>
    <w:p w:rsidR="006D7615" w:rsidRDefault="006D7615" w:rsidP="006D7615">
      <w:pPr>
        <w:spacing w:before="120" w:line="360" w:lineRule="auto"/>
        <w:ind w:left="509"/>
        <w:jc w:val="both"/>
        <w:rPr>
          <w:rFonts w:ascii="David" w:hAnsi="David"/>
          <w:rtl/>
        </w:rPr>
      </w:pPr>
      <w:r>
        <w:rPr>
          <w:rFonts w:ascii="David" w:hAnsi="David"/>
          <w:rtl/>
        </w:rPr>
        <w:t>ניתוח נסיבות המקרה שלפנינו, על יסוד המסכת העובדתית שנפרסה בפני בית המשפט קמא ובפנינו ויישום הוראות הדין מוביל, אף לטעמי, למסקנה כי דין הערעור להתקבל, ובנוסף למפורט בהרחבה בחוות דעתה של חברתי השופטת לוין, יובאו להלן ובתמצית הארות מספר מנקודת המבט שלי.</w:t>
      </w:r>
    </w:p>
    <w:p w:rsidR="006D7615" w:rsidRDefault="006D7615" w:rsidP="006D7615">
      <w:pPr>
        <w:spacing w:before="120" w:line="360" w:lineRule="auto"/>
        <w:ind w:left="509"/>
        <w:jc w:val="both"/>
        <w:rPr>
          <w:rFonts w:ascii="David" w:hAnsi="David"/>
        </w:rPr>
      </w:pPr>
      <w:r>
        <w:rPr>
          <w:rFonts w:ascii="David" w:hAnsi="David"/>
          <w:rtl/>
        </w:rPr>
        <w:t>ראשית ובבחינת המובן מאליו יאמר, כי פרשה זו שהובאה לפתחנו נוגעת ללב ופורטת על נימי הנפש. דומה, כי אין צורך להכביר מלים בדבר עוצמת הזכות להורות כזכות אוניברסלית ועל זמנית וכאחת מאבני היסוד של הקיום האנושי.</w:t>
      </w:r>
    </w:p>
    <w:p w:rsidR="006D7615" w:rsidRDefault="006D7615" w:rsidP="006D7615">
      <w:pPr>
        <w:spacing w:before="120" w:line="360" w:lineRule="auto"/>
        <w:ind w:left="509"/>
        <w:jc w:val="both"/>
        <w:rPr>
          <w:rFonts w:ascii="David" w:hAnsi="David"/>
          <w:rtl/>
        </w:rPr>
      </w:pPr>
      <w:r>
        <w:rPr>
          <w:rFonts w:ascii="David" w:hAnsi="David"/>
          <w:rtl/>
        </w:rPr>
        <w:t xml:space="preserve">גם שאיפת המשיבה להיות אם ולהגשים בכך נדבך חשוב בעצמיותה ברורה, מובנת ומעוררת אמפטיה רבה כמובן. </w:t>
      </w:r>
    </w:p>
    <w:p w:rsidR="006D7615" w:rsidRDefault="006D7615" w:rsidP="006D7615">
      <w:pPr>
        <w:spacing w:before="120" w:line="360" w:lineRule="auto"/>
        <w:ind w:left="509"/>
        <w:jc w:val="both"/>
        <w:rPr>
          <w:rFonts w:ascii="David" w:hAnsi="David"/>
          <w:rtl/>
        </w:rPr>
      </w:pPr>
      <w:r>
        <w:rPr>
          <w:rFonts w:ascii="David" w:hAnsi="David"/>
          <w:rtl/>
        </w:rPr>
        <w:t xml:space="preserve">המחלוקת בלב ההליך שלפנינו נוגעת לענייניהם האינטימיים של הצדדים ושזורות בה, מעצם טיבה, גם שאלות מוסריות, ערכיות, חברתיות ופילוסופיות. עם זאת, משהנקיק נפתח והתרחב, והצדדים הכניסו (בלית ברירה, כפי הנראה) לתוך אותו מרחב אינטימי את המשפט, שומה עלינו, להידרש למחלוקת ביניהם ולהכריע בה באמצעות הכלים המשפטיים העומדים לרשותנו, עת נהיר, כי בהינתן טיבה של המחלוקת, תתקבל בסופה של הדרך תוצאה שהיא הרת גורל עבור מי מהצדדים.          </w:t>
      </w:r>
    </w:p>
    <w:p w:rsidR="006D7615" w:rsidRDefault="006D7615" w:rsidP="006D7615">
      <w:pPr>
        <w:pStyle w:val="ad"/>
        <w:spacing w:before="120" w:line="360" w:lineRule="auto"/>
        <w:ind w:left="509"/>
        <w:jc w:val="both"/>
        <w:rPr>
          <w:rFonts w:ascii="David" w:hAnsi="David"/>
          <w:rtl/>
        </w:rPr>
      </w:pPr>
    </w:p>
    <w:p w:rsidR="006D7615" w:rsidRDefault="006D7615" w:rsidP="006D7615">
      <w:pPr>
        <w:pStyle w:val="ad"/>
        <w:numPr>
          <w:ilvl w:val="0"/>
          <w:numId w:val="4"/>
        </w:numPr>
        <w:spacing w:before="120" w:line="360" w:lineRule="auto"/>
        <w:ind w:left="509" w:hanging="425"/>
        <w:jc w:val="both"/>
        <w:rPr>
          <w:rFonts w:ascii="David" w:hAnsi="David"/>
          <w:rtl/>
        </w:rPr>
      </w:pPr>
      <w:r>
        <w:rPr>
          <w:rFonts w:ascii="David" w:hAnsi="David"/>
          <w:rtl/>
        </w:rPr>
        <w:t>בפסק הדין שיצא מלפניו סמך בית המשפט קמא ידו, בין היתר, על פסיקת בית המשפט העליון ב</w:t>
      </w:r>
      <w:r>
        <w:rPr>
          <w:rFonts w:ascii="David" w:hAnsi="David"/>
          <w:b/>
          <w:bCs/>
          <w:rtl/>
        </w:rPr>
        <w:t>פרשת נחמני</w:t>
      </w:r>
      <w:r>
        <w:rPr>
          <w:rFonts w:ascii="David" w:hAnsi="David"/>
          <w:rtl/>
        </w:rPr>
        <w:t xml:space="preserve">, בפרט אגב הדיון בהתנגשות בין זכויות הצדדים בסוגיית ההורות, ובדונו בשאלת הסתמכות המשיבה על מצגי המערער ונפקותה. </w:t>
      </w:r>
    </w:p>
    <w:p w:rsidR="006D7615" w:rsidRDefault="006D7615" w:rsidP="006D7615">
      <w:pPr>
        <w:pStyle w:val="ad"/>
        <w:spacing w:before="120" w:line="360" w:lineRule="auto"/>
        <w:ind w:left="509"/>
        <w:jc w:val="both"/>
        <w:rPr>
          <w:rFonts w:ascii="David" w:hAnsi="David"/>
          <w:rtl/>
        </w:rPr>
      </w:pPr>
      <w:r>
        <w:rPr>
          <w:rFonts w:ascii="David" w:hAnsi="David"/>
          <w:rtl/>
        </w:rPr>
        <w:t>מבלי להרחיב בעניין זה היריעה יתר על המידה ומששותפה אני לקביעותיה של חברתי השופטת לוין בעניין משקלו וחשיבותו של יסוד ההסכמה בכל הקשור לשימוש בעוברים שנוצרו מביציות המשיבה ומזרעו של המערער לשם הבאת ילדים לעולם, ראוי כי נשית לבנו להבדלים המהותיים בין המקרה שלפנינו ובין פרשת נחמני, למרות הדמיון ביניהם, לכאורה, הן ברובד הנורמטיבי והן ברובד העובדתי - הבדלים שיש בהם, גם לדעתי, להשליך גם על ההכרעה ולהוביל לתוצאה שונה.</w:t>
      </w:r>
    </w:p>
    <w:p w:rsidR="006D7615" w:rsidRDefault="006D7615" w:rsidP="006D7615">
      <w:pPr>
        <w:pStyle w:val="ad"/>
        <w:spacing w:before="120" w:line="360" w:lineRule="auto"/>
        <w:ind w:left="509"/>
        <w:jc w:val="both"/>
        <w:rPr>
          <w:rFonts w:ascii="David" w:hAnsi="David"/>
        </w:rPr>
      </w:pPr>
      <w:r>
        <w:rPr>
          <w:rFonts w:ascii="David" w:hAnsi="David"/>
          <w:u w:val="single"/>
          <w:rtl/>
        </w:rPr>
        <w:t>ברובד הנורמטיבי</w:t>
      </w:r>
      <w:r>
        <w:rPr>
          <w:rFonts w:ascii="David" w:hAnsi="David"/>
          <w:rtl/>
        </w:rPr>
        <w:t xml:space="preserve"> – לאחר פרשת נחמני בא לעולם חוק הסכמים לנשיאת עוברים, הרלוונטי לענייננו; בנוסף, ובהתאם להנחיות הרגולטור-משרד הבריאות, משאינם נשואים, הוחתמו </w:t>
      </w:r>
      <w:r>
        <w:rPr>
          <w:rFonts w:ascii="David" w:hAnsi="David"/>
          <w:rtl/>
        </w:rPr>
        <w:lastRenderedPageBreak/>
        <w:t xml:space="preserve">הצדדים, כבני זוג אחרים בסטטוס דומה, על תצהיר, שכונה ע"י בית המשפט קמא (וגם על ידנו) כ"הסכם מיוחד" באמצעותו קיבלו על עצמם התחייבויות חוזיות הנוגעות לשימוש בעוברים שייווצרו מזרעו של המערער ומביציות המשיבה בהליך ההפריה החוץ-גופית.  </w:t>
      </w:r>
    </w:p>
    <w:p w:rsidR="006D7615" w:rsidRDefault="006D7615" w:rsidP="006D7615">
      <w:pPr>
        <w:pStyle w:val="ad"/>
        <w:spacing w:before="120" w:line="360" w:lineRule="auto"/>
        <w:ind w:left="509"/>
        <w:jc w:val="both"/>
        <w:rPr>
          <w:rFonts w:ascii="David" w:hAnsi="David"/>
        </w:rPr>
      </w:pPr>
      <w:r>
        <w:rPr>
          <w:rFonts w:ascii="David" w:hAnsi="David"/>
          <w:u w:val="single"/>
          <w:rtl/>
        </w:rPr>
        <w:t>ברובד העובדתי</w:t>
      </w:r>
      <w:r>
        <w:rPr>
          <w:rFonts w:ascii="David" w:hAnsi="David"/>
          <w:rtl/>
        </w:rPr>
        <w:t xml:space="preserve"> – בשונה מן המקרה שלפנינו בו מצאו עצמם הצדדים בהליך שימור פוריות של המשיבה עקב מצבה הרפואי, שנעשה בתנאי חירום, כשחרב הזמן מונחת על צווארם והיריון כלל אינו על הפרק, כעולה בבירור גם מעדות פרופ' לויטס (ראו פרוטוקול הדיון מיום 30.10.2024 עמ' 13 ש' 1-3; 20-21), בפרשת נחמני דובר בבני זוג נשואים, אשר לאחר מספר שנות נישואין חשוכי ילדים, ועקב מצבה הרפואי של גב' נחמני בעטיו לא יכולה הייתה להרות באופן טבעי, החליטו להביא ילד לעולם בהפריה חוץ-גופית; כפועל יוצא מהחלטתם המשותפת, פנו לטיפולי פוריות בגדרם הופרו ביציות הגב' נחמני בזרעו של מר נחמני והוקפאו, ובני הזוג אף התקשרו עם מוסד בארה"ב לשם איתור פונדקאית שתישא את ילדם.    </w:t>
      </w:r>
    </w:p>
    <w:p w:rsidR="006D7615" w:rsidRDefault="006D7615" w:rsidP="006D7615">
      <w:pPr>
        <w:pStyle w:val="ad"/>
        <w:spacing w:before="120" w:line="360" w:lineRule="auto"/>
        <w:ind w:left="509"/>
        <w:jc w:val="both"/>
        <w:rPr>
          <w:rFonts w:ascii="David" w:hAnsi="David"/>
          <w:rtl/>
        </w:rPr>
      </w:pPr>
    </w:p>
    <w:p w:rsidR="006D7615" w:rsidRDefault="006D7615" w:rsidP="006D7615">
      <w:pPr>
        <w:pStyle w:val="ad"/>
        <w:spacing w:before="120" w:line="360" w:lineRule="auto"/>
        <w:ind w:left="509"/>
        <w:jc w:val="both"/>
        <w:rPr>
          <w:rFonts w:ascii="David" w:hAnsi="David"/>
          <w:rtl/>
        </w:rPr>
      </w:pPr>
      <w:r>
        <w:rPr>
          <w:rFonts w:ascii="David" w:hAnsi="David"/>
          <w:rtl/>
        </w:rPr>
        <w:t>בהינתן ההבדלים האמורים ומבלי לגרוע כמלוא הנימה מן הקביעות ומהמסקנה המשפטית בחוות דעתה של חברתי השופטת לוין, ההיקש מפרשת נחמני בכל הנוגע להסתמכות המשיבה על מצגי המערער ולהחלת הדוקטרינה של השתק הבטחה על נסיבות המקרה שלפנינו חלף הסכמה פוזיטיבית של המערער לשימוש בעוברים המוקפאים במטרה להביא ילדים לעולם מעוררים, גם לדעתי, קושי ממשי, אשר למרות האמפטיה וההבנה למצבה של המשיבה, מטה את הכף לעבר המסקנה, כי הדרישה להסכמה הדדית לשימוש בעוברים המוקפאים בכל שלב בתהליך עד להחדרתם לרחם לא מולאה במקרה דנא.</w:t>
      </w:r>
    </w:p>
    <w:p w:rsidR="006D7615" w:rsidRDefault="006D7615" w:rsidP="006D7615">
      <w:pPr>
        <w:pStyle w:val="ad"/>
        <w:spacing w:before="120" w:line="360" w:lineRule="auto"/>
        <w:ind w:left="509"/>
        <w:jc w:val="both"/>
        <w:rPr>
          <w:rFonts w:ascii="David" w:hAnsi="David"/>
          <w:rtl/>
        </w:rPr>
      </w:pPr>
    </w:p>
    <w:p w:rsidR="006D7615" w:rsidRDefault="006D7615" w:rsidP="006D7615">
      <w:pPr>
        <w:pStyle w:val="ad"/>
        <w:spacing w:before="120" w:line="360" w:lineRule="auto"/>
        <w:ind w:left="509"/>
        <w:jc w:val="both"/>
        <w:rPr>
          <w:rFonts w:ascii="David" w:hAnsi="David"/>
          <w:rtl/>
        </w:rPr>
      </w:pPr>
      <w:r>
        <w:rPr>
          <w:rFonts w:ascii="David" w:hAnsi="David"/>
          <w:rtl/>
        </w:rPr>
        <w:t>בהקשר זה אוסיף, כי לאורך עדותו של פרופ' לויטס לפנינו הובהר על ידו שוב ושוב, כי בהתאם להוראות ה"הסכם המיוחד" ולנהלים על פיהם מבוצעים טיפולי הפריה חוץ-גופית, נדרשת הסכמה של בני הזוג לשימוש בעוברים על מנת להביא ילד לעולם בכל אחד מן השלבים בתהליך ובהעדרה הוא מופסק (ראו פרוטוקול הדיון מיום 30.10.2024 עמ' 7 ש' 24, ש' 31-33; עמ' 8 ש' 1-4; עמ' 10 ש' 21-25; עמ' 14 ש' 7-12).</w:t>
      </w:r>
    </w:p>
    <w:p w:rsidR="006D7615" w:rsidRDefault="006D7615" w:rsidP="006D7615">
      <w:pPr>
        <w:spacing w:before="120" w:line="360" w:lineRule="auto"/>
        <w:jc w:val="both"/>
        <w:rPr>
          <w:rFonts w:ascii="David" w:hAnsi="David"/>
          <w:rtl/>
        </w:rPr>
      </w:pPr>
      <w:r>
        <w:rPr>
          <w:rFonts w:ascii="David" w:hAnsi="David"/>
          <w:rtl/>
        </w:rPr>
        <w:tab/>
      </w:r>
    </w:p>
    <w:p w:rsidR="006D7615" w:rsidRDefault="006D7615" w:rsidP="006D7615">
      <w:pPr>
        <w:pStyle w:val="ad"/>
        <w:numPr>
          <w:ilvl w:val="0"/>
          <w:numId w:val="4"/>
        </w:numPr>
        <w:spacing w:before="120" w:line="360" w:lineRule="auto"/>
        <w:ind w:left="509" w:hanging="425"/>
        <w:jc w:val="both"/>
        <w:rPr>
          <w:rFonts w:ascii="David" w:hAnsi="David"/>
          <w:rtl/>
        </w:rPr>
      </w:pPr>
      <w:r>
        <w:rPr>
          <w:rFonts w:ascii="David" w:hAnsi="David"/>
          <w:rtl/>
        </w:rPr>
        <w:t xml:space="preserve">באשר למימד הזמן - בנסיבותיו המיוחדות של המקרה שלפנינו, ראוי, כי נשית לבנו גם לאופן בו נבחנת המסכת העובדתיות על יסודה נגזרות מסקנותינו, בפרט בשאלת ההסכמה לשימוש בעוברים המוקפאים לצורך הבאת ילדים לעולם. </w:t>
      </w:r>
    </w:p>
    <w:p w:rsidR="006D7615" w:rsidRDefault="006D7615" w:rsidP="006D7615">
      <w:pPr>
        <w:pStyle w:val="ad"/>
        <w:spacing w:before="120" w:line="360" w:lineRule="auto"/>
        <w:ind w:left="509"/>
        <w:jc w:val="both"/>
        <w:rPr>
          <w:rFonts w:ascii="David" w:hAnsi="David"/>
          <w:rtl/>
        </w:rPr>
      </w:pPr>
    </w:p>
    <w:p w:rsidR="006D7615" w:rsidRDefault="006D7615" w:rsidP="006D7615">
      <w:pPr>
        <w:pStyle w:val="ad"/>
        <w:spacing w:before="120" w:line="360" w:lineRule="auto"/>
        <w:ind w:left="509"/>
        <w:jc w:val="both"/>
        <w:rPr>
          <w:rFonts w:ascii="David" w:hAnsi="David"/>
          <w:rtl/>
        </w:rPr>
      </w:pPr>
      <w:r>
        <w:rPr>
          <w:rFonts w:ascii="David" w:hAnsi="David"/>
          <w:rtl/>
        </w:rPr>
        <w:t xml:space="preserve">היות שמטבע הדברים בבואו להכריע במחלוקת בין הצדדים, ניצב בית המשפט בנקודה שהיא מרוחקת בזמן מן האירועים שהולידו המחלוקת, לצורך ההתחקות אחר שארע בזמן אמת- במועד בו נפל דבר והצדדים החליטו על הפרייתן של ביציות המשיבה בזרעו של המערער,   </w:t>
      </w:r>
      <w:r>
        <w:rPr>
          <w:rFonts w:ascii="David" w:hAnsi="David"/>
          <w:rtl/>
        </w:rPr>
        <w:lastRenderedPageBreak/>
        <w:t>נדרש הוא, מסתמא, להתבוננות ולבחינה רטרוספקטיבית של העובדות והנסיבות. במקרה דנא, על נסיבותיו המיוחדות, גלומה בכך, כפי שיובהר להלן, סכנה של הטיית המסקנות, ומשכך עלינו לנקוט בעניין זה משנה זהירות.</w:t>
      </w:r>
    </w:p>
    <w:p w:rsidR="006D7615" w:rsidRDefault="006D7615" w:rsidP="006D7615">
      <w:pPr>
        <w:pStyle w:val="ad"/>
        <w:spacing w:before="120" w:line="360" w:lineRule="auto"/>
        <w:ind w:left="509"/>
        <w:jc w:val="both"/>
        <w:rPr>
          <w:rFonts w:ascii="David" w:hAnsi="David"/>
        </w:rPr>
      </w:pPr>
    </w:p>
    <w:p w:rsidR="006D7615" w:rsidRDefault="006D7615" w:rsidP="006D7615">
      <w:pPr>
        <w:pStyle w:val="ad"/>
        <w:spacing w:before="120" w:line="360" w:lineRule="auto"/>
        <w:ind w:left="509"/>
        <w:jc w:val="both"/>
        <w:rPr>
          <w:rFonts w:ascii="David" w:hAnsi="David"/>
          <w:rtl/>
        </w:rPr>
      </w:pPr>
      <w:r>
        <w:rPr>
          <w:rFonts w:ascii="David" w:hAnsi="David"/>
          <w:rtl/>
        </w:rPr>
        <w:t>ודוק. אין חולק, כי מיום 12.11.2015 - המועד בו נפגשו הצדדים לראשונה עם פרופ' לויטס וקיבלו הסברים על הליך שימור הפוריות של המשיבה עקב מצבה הרפואי ועד למועד בו נשאבו שלוש הביציות מגופה של המשיבה בסבב הראשון והופרו בזרעו של המערער ביום 23.11.2015, חלפו 11 ימים בלבד, במהלכם גם נחתם על ידם "ההסכם המיוחד". מדובר היה בהליך חירום שנעשה בבהילות (ראו עדות פרופ' לויטס – פרוטוקול הדיון מיום 30.10.2024 עמ' 12 ש' 26-29, 32; עמ' 15 ש' 28-32; עמ' 16 ש' 27), על כל המשתמע מכך. אותה שעה מועדות היו פני המשיבה לסבב נוסף של שאיבת ביציות בהליך שהחל בסמוך לאחר הסבב הראשון, אלא שלדאבון הלב במהלך הטיפול ההורמונלי שנטלה לקראתו, ונמשך 10 ימים, התברר, כי הוא מעמיד אותה בסכנה בריאותית, ובהוראת האונקולוג שטיפל בה, הופסק הטיפול ההורמונלי לאלתר ולא בוצעה שאיבת ביציות נוספת. בחלוף חודשים מספר ועקב התדרדרות במצבה הרפואי, נכרת, למרבה הצער, רחמה.</w:t>
      </w:r>
    </w:p>
    <w:p w:rsidR="006D7615" w:rsidRDefault="006D7615" w:rsidP="006D7615">
      <w:pPr>
        <w:pStyle w:val="ad"/>
        <w:spacing w:before="120" w:line="360" w:lineRule="auto"/>
        <w:ind w:left="509"/>
        <w:jc w:val="both"/>
        <w:rPr>
          <w:rFonts w:ascii="David" w:hAnsi="David"/>
          <w:rtl/>
        </w:rPr>
      </w:pPr>
      <w:r>
        <w:rPr>
          <w:rFonts w:ascii="David" w:hAnsi="David"/>
          <w:rtl/>
        </w:rPr>
        <w:t xml:space="preserve">מדובר, אפוא, בפרק זמן קצר מאד למן תחילת הפרוצדורה הרפואית לשימור פוריות המשיבה ועד לסיומה בכורח הנסיבות.   </w:t>
      </w:r>
    </w:p>
    <w:p w:rsidR="006D7615" w:rsidRDefault="006D7615" w:rsidP="006D7615">
      <w:pPr>
        <w:pStyle w:val="ad"/>
        <w:spacing w:before="120" w:line="360" w:lineRule="auto"/>
        <w:ind w:left="509"/>
        <w:jc w:val="both"/>
        <w:rPr>
          <w:rFonts w:ascii="David" w:hAnsi="David"/>
          <w:rtl/>
        </w:rPr>
      </w:pPr>
    </w:p>
    <w:p w:rsidR="006D7615" w:rsidRDefault="006D7615" w:rsidP="006D7615">
      <w:pPr>
        <w:pStyle w:val="ad"/>
        <w:spacing w:before="120" w:line="360" w:lineRule="auto"/>
        <w:ind w:left="509"/>
        <w:jc w:val="both"/>
        <w:rPr>
          <w:rFonts w:ascii="David" w:hAnsi="David"/>
          <w:rtl/>
        </w:rPr>
      </w:pPr>
      <w:r>
        <w:rPr>
          <w:rFonts w:ascii="David" w:hAnsi="David"/>
          <w:rtl/>
        </w:rPr>
        <w:t>הנה כי כן, שני אירועים בלתי צפויים התרחשו לאחר ההפריה (שבוצעה ביום שאיבת הביציות) מיום 23.11.2015: הטיפול ההורמונלי הופסק ועמו גם הליך שימור הפוריות שתוכנן ונגדע בראשיתו; וכריתת רחמה של המשיבה.</w:t>
      </w:r>
    </w:p>
    <w:p w:rsidR="006D7615" w:rsidRDefault="006D7615" w:rsidP="006D7615">
      <w:pPr>
        <w:pStyle w:val="ad"/>
        <w:spacing w:before="120" w:line="360" w:lineRule="auto"/>
        <w:ind w:left="509"/>
        <w:jc w:val="both"/>
        <w:rPr>
          <w:rFonts w:ascii="David" w:hAnsi="David"/>
          <w:rtl/>
        </w:rPr>
      </w:pPr>
    </w:p>
    <w:p w:rsidR="006D7615" w:rsidRDefault="006D7615" w:rsidP="006D7615">
      <w:pPr>
        <w:pStyle w:val="ad"/>
        <w:spacing w:before="120" w:line="360" w:lineRule="auto"/>
        <w:ind w:left="509"/>
        <w:jc w:val="both"/>
        <w:rPr>
          <w:rFonts w:ascii="David" w:hAnsi="David"/>
          <w:rtl/>
        </w:rPr>
      </w:pPr>
      <w:r>
        <w:rPr>
          <w:rFonts w:ascii="David" w:hAnsi="David"/>
          <w:rtl/>
        </w:rPr>
        <w:t>באותה מידה שניתן היה להניח, כי לו ידעה המשיבה שמחמת ההתרחשויות האמורות תהא תלויה בחסדי המערער והייתה בוחרת להקפיא שלוש הביציות שנשאבו, כולן או חלקן, ולפנות בעתיד לקבלת תרומת זרע, ניתן גם להניח, שלו ידע זאת המערער, היה נמנע ממתן הזרע לצורך הפריית הביציות שנשאבו.</w:t>
      </w:r>
    </w:p>
    <w:p w:rsidR="006D7615" w:rsidRDefault="006D7615" w:rsidP="006D7615">
      <w:pPr>
        <w:pStyle w:val="ad"/>
        <w:spacing w:before="120" w:line="360" w:lineRule="auto"/>
        <w:ind w:left="509"/>
        <w:jc w:val="both"/>
        <w:rPr>
          <w:rFonts w:ascii="David" w:hAnsi="David"/>
          <w:rtl/>
        </w:rPr>
      </w:pPr>
      <w:r>
        <w:rPr>
          <w:rFonts w:ascii="David" w:hAnsi="David"/>
          <w:rtl/>
        </w:rPr>
        <w:t xml:space="preserve">שתי ההנחות היו היפותטיות נכון ליום 23.11.2015, וכיום הן תולדה של חכמה שלאחר מעשה, ומשכך לא ניתן לבסס עליהן ממצאים, וודאי לא כאלה הנשענים על עקרונות של צדק והגינות ואף לא על דוקטרינות של השתק, מניעות ותום לב.    </w:t>
      </w:r>
    </w:p>
    <w:p w:rsidR="006D7615" w:rsidRDefault="006D7615" w:rsidP="006D7615">
      <w:pPr>
        <w:pStyle w:val="ad"/>
        <w:spacing w:before="120" w:line="360" w:lineRule="auto"/>
        <w:ind w:left="509"/>
        <w:jc w:val="both"/>
        <w:rPr>
          <w:rFonts w:ascii="David" w:hAnsi="David"/>
          <w:rtl/>
        </w:rPr>
      </w:pPr>
      <w:r>
        <w:rPr>
          <w:rFonts w:ascii="David" w:hAnsi="David"/>
          <w:rtl/>
        </w:rPr>
        <w:t xml:space="preserve">   </w:t>
      </w:r>
    </w:p>
    <w:p w:rsidR="006D7615" w:rsidRDefault="006D7615" w:rsidP="006D7615">
      <w:pPr>
        <w:pStyle w:val="ad"/>
        <w:numPr>
          <w:ilvl w:val="0"/>
          <w:numId w:val="4"/>
        </w:numPr>
        <w:spacing w:before="120" w:line="360" w:lineRule="auto"/>
        <w:ind w:left="509" w:hanging="425"/>
        <w:jc w:val="both"/>
        <w:rPr>
          <w:rFonts w:ascii="David" w:hAnsi="David"/>
          <w:rtl/>
        </w:rPr>
      </w:pPr>
      <w:r>
        <w:rPr>
          <w:rFonts w:ascii="David" w:hAnsi="David"/>
          <w:rtl/>
        </w:rPr>
        <w:t xml:space="preserve">באשר למתווה שהוצע ע"י ב"כ היועמ"שית, אומץ ע"י בית המשפט קמא וזכה להתייחסות נרחבת בחוות דעתו של חברי, השופט דנינו – אף שעל פניו הוא שובה לב ועין, הוא הוכפף, כזכור, לממצאים העובדתיים והמשפטיים-חוזיים שיתקבלו אגב ההכרעה בהליך, בלא </w:t>
      </w:r>
      <w:r>
        <w:rPr>
          <w:rFonts w:ascii="David" w:hAnsi="David"/>
          <w:rtl/>
        </w:rPr>
        <w:lastRenderedPageBreak/>
        <w:t>שהובעה על ידה עמדה לגוף המחלוקת בין הצדדים. תכליתו היא, למעשה, מתן מענה פרקטי בסיטואציה המורכבת שנוצרה, אשר יש בו לעקוף את מגבלות הדין ולרכך הפגיעה באוטונומיה של המערער, נוכח האפשרות של כפיית ההורות עליו, ע"י הסרה של חיובים אישיים וכלכליים החלים על הורים מעל כתפיו. ברי, כי משהמסקנה במישור המהותי שונה מזו של בית המשפט קמא, איננו באים כלל בשעריו של עולם המעשה, ומשכך הפתרון המוצע אינו רלוונטי לדיוננו.</w:t>
      </w:r>
    </w:p>
    <w:p w:rsidR="006D7615" w:rsidRDefault="006D7615" w:rsidP="006D7615">
      <w:pPr>
        <w:pStyle w:val="ad"/>
        <w:spacing w:before="120" w:line="360" w:lineRule="auto"/>
        <w:ind w:left="509"/>
        <w:jc w:val="both"/>
        <w:rPr>
          <w:rFonts w:ascii="David" w:hAnsi="David"/>
          <w:rtl/>
        </w:rPr>
      </w:pPr>
      <w:r>
        <w:rPr>
          <w:rFonts w:ascii="David" w:hAnsi="David"/>
          <w:rtl/>
        </w:rPr>
        <w:t xml:space="preserve"> </w:t>
      </w:r>
    </w:p>
    <w:p w:rsidR="006D7615" w:rsidRDefault="006D7615" w:rsidP="006D7615">
      <w:pPr>
        <w:pStyle w:val="ad"/>
        <w:numPr>
          <w:ilvl w:val="0"/>
          <w:numId w:val="4"/>
        </w:numPr>
        <w:spacing w:before="120" w:line="360" w:lineRule="auto"/>
        <w:ind w:left="509" w:hanging="425"/>
        <w:jc w:val="both"/>
        <w:rPr>
          <w:rFonts w:ascii="David" w:hAnsi="David"/>
        </w:rPr>
      </w:pPr>
      <w:r>
        <w:rPr>
          <w:rFonts w:ascii="David" w:hAnsi="David"/>
          <w:rtl/>
        </w:rPr>
        <w:t xml:space="preserve">באשר לדיון בזכויות המתגוששות בזירה – בקליפת אגוז יאמר, כי מסקנתנו שלפיה בהעדר הסכמה של המערער לשימוש בעוברים על מנת להביא ילדים לעולם אין המשיבה רשאית לעשות כן, מגלמת, למעשה, האיזון בין זכויות הצדדים, אשר נשען על השיקולים ששורטטו בעניין זה בפסיקה (וראו והשוו לעניין זה, למשל, פסק דינה של השופטת דורנר בדיון הנוסף בפרשת נחמני – דנ"א 2401/95, עמ' 715-717).    </w:t>
      </w:r>
    </w:p>
    <w:p w:rsidR="006D7615" w:rsidRDefault="006D7615" w:rsidP="006D7615">
      <w:pPr>
        <w:pStyle w:val="ad"/>
        <w:rPr>
          <w:rFonts w:ascii="David" w:hAnsi="David"/>
        </w:rPr>
      </w:pPr>
    </w:p>
    <w:p w:rsidR="006D7615" w:rsidRDefault="006D7615" w:rsidP="006D7615">
      <w:pPr>
        <w:pStyle w:val="ad"/>
        <w:spacing w:before="120" w:line="360" w:lineRule="auto"/>
        <w:ind w:left="509"/>
        <w:jc w:val="both"/>
        <w:rPr>
          <w:rFonts w:ascii="David" w:hAnsi="David"/>
        </w:rPr>
      </w:pPr>
      <w:r>
        <w:rPr>
          <w:rFonts w:ascii="David" w:hAnsi="David"/>
          <w:rtl/>
        </w:rPr>
        <w:t xml:space="preserve">בהקשר זה יצוין עוד, כי במלאכת האיזון האמור ראוי להביא בחשבון גם את חלוף הזמן מאז הופרו ביציות המשיבה בזרעו של המערער ועד לפנייתה אליו בבקשה לקבל הסכמתו לשימוש בעוברים – תקופה זו משתרעת על פני כחמש שנים, ולמעלה מארבע שנים מאז סיום הקשר הזוגי בין הצדדים ופניית כל אחד מהם לדרכו. לעובדות אלו, על רקע הנסיבות בהן בוצעה ההפריה, השלכה גם על שאלת ההסתמכות והציפייה של המערער.  </w:t>
      </w:r>
    </w:p>
    <w:p w:rsidR="006D7615" w:rsidRDefault="006D7615" w:rsidP="006D7615">
      <w:pPr>
        <w:pStyle w:val="ad"/>
        <w:rPr>
          <w:rFonts w:ascii="David" w:hAnsi="David"/>
        </w:rPr>
      </w:pPr>
    </w:p>
    <w:p w:rsidR="006D7615" w:rsidRDefault="006D7615" w:rsidP="006D7615">
      <w:pPr>
        <w:pStyle w:val="ad"/>
        <w:numPr>
          <w:ilvl w:val="0"/>
          <w:numId w:val="4"/>
        </w:numPr>
        <w:spacing w:before="120" w:line="360" w:lineRule="auto"/>
        <w:ind w:left="509" w:hanging="425"/>
        <w:jc w:val="both"/>
        <w:rPr>
          <w:rFonts w:ascii="David" w:hAnsi="David"/>
          <w:rtl/>
        </w:rPr>
      </w:pPr>
      <w:r>
        <w:rPr>
          <w:rFonts w:ascii="David" w:hAnsi="David"/>
          <w:rtl/>
        </w:rPr>
        <w:t xml:space="preserve">טרם נעילה אומר שוב, כי פרשה זו שלפנינו מתארת סיטואציה אנושית מורכבת, ורוחשים  בקרבה ערכים רבים שהם מנשמת אפם של המשפט ושל ההוויה האנושית. אף שהלב והשכל עשויים במצב דברים זה למשוך מחשבותינו לכיוונים מנוגדים, בסופו של יום עלינו לפסוע בנתיבי הדין, כשם שהוא מתפרש על ידינו, גם אם התוצאה קשה. כל זאת, מבלי להקל ראש ולו במעט מנפקות תוצאתו של ההליך דנא מבחינת המשיבה, ותוך שאנו מבינים ללבה ומודעים למצב אליו נקלעה. </w:t>
      </w:r>
    </w:p>
    <w:p w:rsidR="006D7615" w:rsidRDefault="006D7615" w:rsidP="006D7615">
      <w:pPr>
        <w:pStyle w:val="ad"/>
        <w:spacing w:before="120" w:line="360" w:lineRule="auto"/>
        <w:ind w:left="509"/>
        <w:jc w:val="both"/>
        <w:rPr>
          <w:rFonts w:ascii="David" w:hAnsi="David"/>
        </w:rPr>
      </w:pPr>
      <w:r>
        <w:rPr>
          <w:rFonts w:ascii="David" w:hAnsi="David"/>
          <w:rtl/>
        </w:rPr>
        <w:t xml:space="preserve">                          </w:t>
      </w:r>
    </w:p>
    <w:p w:rsidR="006D7615" w:rsidRDefault="006D7615" w:rsidP="006D7615">
      <w:pPr>
        <w:pStyle w:val="ad"/>
        <w:numPr>
          <w:ilvl w:val="0"/>
          <w:numId w:val="4"/>
        </w:numPr>
        <w:spacing w:before="120" w:line="360" w:lineRule="auto"/>
        <w:ind w:left="509" w:hanging="425"/>
        <w:jc w:val="both"/>
        <w:rPr>
          <w:rFonts w:ascii="David" w:hAnsi="David"/>
          <w:rtl/>
        </w:rPr>
      </w:pPr>
      <w:r>
        <w:rPr>
          <w:rFonts w:ascii="David" w:hAnsi="David"/>
          <w:rtl/>
        </w:rPr>
        <w:t xml:space="preserve">אשר על כן, גם לדעתי דין הערעור להתקבל וזאת ללא צו להוצאות.  </w:t>
      </w: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73"/>
      </w:tblGrid>
      <w:tr w:rsidR="006D7615" w:rsidTr="006D7615">
        <w:tc>
          <w:tcPr>
            <w:tcW w:w="2891" w:type="dxa"/>
            <w:vAlign w:val="center"/>
            <w:hideMark/>
          </w:tcPr>
          <w:sdt>
            <w:sdtPr>
              <w:rPr>
                <w:rFonts w:cs="Times New Roman"/>
                <w:b/>
                <w:bCs/>
                <w:rtl/>
              </w:rPr>
              <w:alias w:val="MergeField"/>
              <w:tag w:val="2252"/>
              <w:id w:val="1549647532"/>
            </w:sdtPr>
            <w:sdtEndPr/>
            <w:sdtContent>
              <w:p w:rsidR="006D7615" w:rsidRDefault="006D7615">
                <w:pPr>
                  <w:jc w:val="right"/>
                  <w:rPr>
                    <w:b/>
                    <w:bCs/>
                    <w:rtl/>
                  </w:rPr>
                </w:pPr>
                <w:r>
                  <w:rPr>
                    <w:b/>
                    <w:bCs/>
                  </w:rPr>
                  <w:drawing>
                    <wp:inline distT="0" distB="0" distL="0" distR="0">
                      <wp:extent cx="1666875" cy="876300"/>
                      <wp:effectExtent l="0" t="0" r="952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6875" cy="876300"/>
                              </a:xfrm>
                              <a:prstGeom prst="rect">
                                <a:avLst/>
                              </a:prstGeom>
                              <a:noFill/>
                              <a:ln>
                                <a:noFill/>
                              </a:ln>
                            </pic:spPr>
                          </pic:pic>
                        </a:graphicData>
                      </a:graphic>
                    </wp:inline>
                  </w:drawing>
                </w:r>
              </w:p>
            </w:sdtContent>
          </w:sdt>
        </w:tc>
      </w:tr>
      <w:tr w:rsidR="006D7615" w:rsidTr="006D7615">
        <w:tc>
          <w:tcPr>
            <w:tcW w:w="2891" w:type="dxa"/>
            <w:vAlign w:val="center"/>
            <w:hideMark/>
          </w:tcPr>
          <w:p w:rsidR="006D7615" w:rsidRDefault="000D68D0">
            <w:pPr>
              <w:spacing w:line="360" w:lineRule="auto"/>
              <w:jc w:val="right"/>
              <w:rPr>
                <w:rFonts w:ascii="David" w:hAnsi="David"/>
                <w:b/>
                <w:bCs/>
                <w:rtl/>
              </w:rPr>
            </w:pPr>
            <w:sdt>
              <w:sdtPr>
                <w:rPr>
                  <w:b/>
                  <w:bCs/>
                  <w:rtl/>
                </w:rPr>
                <w:alias w:val="2237"/>
                <w:tag w:val="2237"/>
                <w:id w:val="857240283"/>
              </w:sdtPr>
              <w:sdtEndPr/>
              <w:sdtContent>
                <w:r w:rsidR="006D7615">
                  <w:rPr>
                    <w:rFonts w:ascii="David" w:hAnsi="David"/>
                    <w:b/>
                    <w:bCs/>
                    <w:rtl/>
                  </w:rPr>
                  <w:t>פאני גילת</w:t>
                </w:r>
              </w:sdtContent>
            </w:sdt>
            <w:r w:rsidR="006D7615">
              <w:rPr>
                <w:b/>
                <w:bCs/>
                <w:rtl/>
              </w:rPr>
              <w:t xml:space="preserve"> </w:t>
            </w:r>
            <w:sdt>
              <w:sdtPr>
                <w:rPr>
                  <w:rFonts w:cs="Times New Roman" w:hint="cs"/>
                  <w:b/>
                  <w:bCs/>
                  <w:rtl/>
                </w:rPr>
                <w:alias w:val="2242"/>
                <w:tag w:val="2242"/>
                <w:id w:val="-1738391393"/>
              </w:sdtPr>
              <w:sdtEndPr/>
              <w:sdtContent>
                <w:r w:rsidR="006D7615">
                  <w:rPr>
                    <w:b/>
                    <w:bCs/>
                    <w:rtl/>
                  </w:rPr>
                  <w:t>כהן</w:t>
                </w:r>
              </w:sdtContent>
            </w:sdt>
            <w:r w:rsidR="006D7615">
              <w:rPr>
                <w:b/>
                <w:bCs/>
                <w:rtl/>
              </w:rPr>
              <w:t xml:space="preserve">, </w:t>
            </w:r>
            <w:sdt>
              <w:sdtPr>
                <w:rPr>
                  <w:rFonts w:cs="Times New Roman" w:hint="cs"/>
                  <w:b/>
                  <w:bCs/>
                  <w:rtl/>
                </w:rPr>
                <w:alias w:val="2247"/>
                <w:tag w:val="2247"/>
                <w:id w:val="1794643098"/>
              </w:sdtPr>
              <w:sdtEndPr/>
              <w:sdtContent>
                <w:r w:rsidR="006D7615">
                  <w:rPr>
                    <w:b/>
                    <w:bCs/>
                    <w:rtl/>
                  </w:rPr>
                  <w:t>שופטת</w:t>
                </w:r>
              </w:sdtContent>
            </w:sdt>
          </w:p>
        </w:tc>
      </w:tr>
    </w:tbl>
    <w:p w:rsidR="006D7615" w:rsidRDefault="006D7615" w:rsidP="006D7615">
      <w:pPr>
        <w:spacing w:line="360" w:lineRule="auto"/>
        <w:jc w:val="both"/>
        <w:rPr>
          <w:rFonts w:ascii="Arial" w:hAnsi="Arial"/>
          <w:noProof w:val="0"/>
        </w:rPr>
      </w:pP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noProof w:val="0"/>
          <w:rtl/>
        </w:rPr>
      </w:pPr>
    </w:p>
    <w:p w:rsidR="006D7615" w:rsidRDefault="006D7615" w:rsidP="006D7615">
      <w:pPr>
        <w:spacing w:line="360" w:lineRule="auto"/>
        <w:jc w:val="both"/>
        <w:rPr>
          <w:rFonts w:ascii="Arial" w:hAnsi="Arial"/>
          <w:b/>
          <w:bCs/>
          <w:noProof w:val="0"/>
          <w:rtl/>
        </w:rPr>
      </w:pPr>
      <w:r>
        <w:rPr>
          <w:rFonts w:ascii="Arial" w:hAnsi="Arial"/>
          <w:b/>
          <w:bCs/>
          <w:noProof w:val="0"/>
          <w:rtl/>
        </w:rPr>
        <w:t xml:space="preserve">הוחלט ברוב דעות לקבל את הערעור ולבטל את פסק דינו של בית המשפט לענייני  משפחה. </w:t>
      </w:r>
    </w:p>
    <w:p w:rsidR="006D7615" w:rsidRDefault="006D7615" w:rsidP="006D7615">
      <w:pPr>
        <w:spacing w:line="360" w:lineRule="auto"/>
        <w:jc w:val="both"/>
        <w:rPr>
          <w:rFonts w:ascii="Arial" w:hAnsi="Arial"/>
          <w:b/>
          <w:bCs/>
          <w:noProof w:val="0"/>
          <w:rtl/>
        </w:rPr>
      </w:pPr>
      <w:r>
        <w:rPr>
          <w:rFonts w:ascii="Arial" w:hAnsi="Arial"/>
          <w:b/>
          <w:bCs/>
          <w:noProof w:val="0"/>
          <w:rtl/>
        </w:rPr>
        <w:t xml:space="preserve">בנסיבות העניין, אין צו להוצאות. </w:t>
      </w:r>
    </w:p>
    <w:p w:rsidR="006D7615" w:rsidRDefault="006D7615" w:rsidP="006D7615">
      <w:pPr>
        <w:spacing w:line="360" w:lineRule="auto"/>
        <w:jc w:val="both"/>
        <w:rPr>
          <w:rFonts w:ascii="Arial" w:hAnsi="Arial"/>
          <w:b/>
          <w:bCs/>
          <w:noProof w:val="0"/>
          <w:rtl/>
        </w:rPr>
      </w:pPr>
    </w:p>
    <w:p w:rsidR="006D7615" w:rsidRDefault="006D7615" w:rsidP="006D7615">
      <w:pPr>
        <w:spacing w:line="360" w:lineRule="auto"/>
        <w:jc w:val="both"/>
        <w:rPr>
          <w:b/>
          <w:bCs/>
          <w:rtl/>
        </w:rPr>
      </w:pPr>
      <w:r>
        <w:rPr>
          <w:b/>
          <w:bCs/>
          <w:rtl/>
        </w:rPr>
        <w:t>אנו מתירים את פרסום פסק הדין ללא שמות ופרטים מזהים.</w:t>
      </w:r>
    </w:p>
    <w:p w:rsidR="006D7615" w:rsidRDefault="006D7615" w:rsidP="006D7615">
      <w:pPr>
        <w:spacing w:line="360" w:lineRule="auto"/>
        <w:jc w:val="both"/>
        <w:rPr>
          <w:b/>
          <w:bCs/>
          <w:rtl/>
        </w:rPr>
      </w:pPr>
    </w:p>
    <w:p w:rsidR="006D7615" w:rsidRDefault="006D7615" w:rsidP="006D7615">
      <w:pPr>
        <w:spacing w:before="240" w:line="480" w:lineRule="auto"/>
        <w:jc w:val="both"/>
        <w:rPr>
          <w:rFonts w:ascii="Arial" w:hAnsi="Arial"/>
          <w:b/>
          <w:bCs/>
          <w:noProof w:val="0"/>
          <w:rtl/>
        </w:rPr>
      </w:pPr>
      <w:r>
        <w:rPr>
          <w:rFonts w:ascii="Arial" w:hAnsi="Arial"/>
          <w:b/>
          <w:bCs/>
          <w:noProof w:val="0"/>
          <w:rtl/>
        </w:rPr>
        <w:t xml:space="preserve">ניתן היום, </w:t>
      </w:r>
      <w:sdt>
        <w:sdtPr>
          <w:rPr>
            <w:b/>
            <w:bCs/>
            <w:rtl/>
          </w:rPr>
          <w:alias w:val="1455"/>
          <w:tag w:val="1455"/>
          <w:id w:val="1072170899"/>
          <w:text w:multiLine="1"/>
        </w:sdtPr>
        <w:sdtEndPr/>
        <w:sdtContent>
          <w:r>
            <w:rPr>
              <w:rFonts w:ascii="Arial" w:hAnsi="Arial"/>
              <w:b/>
              <w:bCs/>
              <w:noProof w:val="0"/>
              <w:rtl/>
            </w:rPr>
            <w:t>כ"ה חשוון תשפ"ה</w:t>
          </w:r>
        </w:sdtContent>
      </w:sdt>
      <w:r>
        <w:rPr>
          <w:rFonts w:ascii="Arial" w:hAnsi="Arial"/>
          <w:b/>
          <w:bCs/>
          <w:noProof w:val="0"/>
          <w:rtl/>
        </w:rPr>
        <w:t xml:space="preserve">, </w:t>
      </w:r>
      <w:sdt>
        <w:sdtPr>
          <w:rPr>
            <w:b/>
            <w:bCs/>
            <w:rtl/>
          </w:rPr>
          <w:alias w:val="1456"/>
          <w:tag w:val="1456"/>
          <w:id w:val="-397825317"/>
          <w:text w:multiLine="1"/>
        </w:sdtPr>
        <w:sdtEndPr/>
        <w:sdtContent>
          <w:r>
            <w:rPr>
              <w:rFonts w:ascii="Arial" w:hAnsi="Arial"/>
              <w:b/>
              <w:bCs/>
              <w:noProof w:val="0"/>
              <w:rtl/>
            </w:rPr>
            <w:t>26 נובמבר 2024</w:t>
          </w:r>
        </w:sdtContent>
      </w:sdt>
      <w:r>
        <w:rPr>
          <w:rFonts w:ascii="Arial" w:hAnsi="Arial"/>
          <w:b/>
          <w:bCs/>
          <w:noProof w:val="0"/>
          <w:rtl/>
        </w:rPr>
        <w:t>, בהעדר הצדדים.</w:t>
      </w: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6D7615" w:rsidTr="006D7615">
        <w:tc>
          <w:tcPr>
            <w:tcW w:w="2891" w:type="dxa"/>
            <w:vAlign w:val="center"/>
            <w:hideMark/>
          </w:tcPr>
          <w:sdt>
            <w:sdtPr>
              <w:rPr>
                <w:rFonts w:cs="Times New Roman" w:hint="cs"/>
                <w:b/>
                <w:bCs/>
                <w:rtl/>
              </w:rPr>
              <w:alias w:val="MergeField"/>
              <w:tag w:val="2250"/>
              <w:id w:val="127438164"/>
            </w:sdtPr>
            <w:sdtEndPr/>
            <w:sdtContent>
              <w:p w:rsidR="006D7615" w:rsidRDefault="006D7615">
                <w:pPr>
                  <w:spacing w:before="240" w:line="480" w:lineRule="auto"/>
                  <w:jc w:val="center"/>
                  <w:rPr>
                    <w:rFonts w:cs="Times New Roman"/>
                    <w:b/>
                    <w:bCs/>
                    <w:noProof w:val="0"/>
                    <w:rtl/>
                  </w:rPr>
                </w:pPr>
                <w:r>
                  <w:rPr>
                    <w:b/>
                    <w:bCs/>
                  </w:rPr>
                  <w:drawing>
                    <wp:inline distT="0" distB="0" distL="0" distR="0">
                      <wp:extent cx="733425" cy="4572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p>
            </w:sdtContent>
          </w:sdt>
        </w:tc>
        <w:tc>
          <w:tcPr>
            <w:tcW w:w="2891" w:type="dxa"/>
            <w:vAlign w:val="center"/>
            <w:hideMark/>
          </w:tcPr>
          <w:sdt>
            <w:sdtPr>
              <w:rPr>
                <w:rFonts w:cs="Times New Roman" w:hint="cs"/>
                <w:b/>
                <w:bCs/>
                <w:rtl/>
              </w:rPr>
              <w:alias w:val="MergeField"/>
              <w:tag w:val="2251"/>
              <w:id w:val="794182715"/>
            </w:sdtPr>
            <w:sdtEndPr/>
            <w:sdtContent>
              <w:p w:rsidR="006D7615" w:rsidRDefault="006D7615">
                <w:pPr>
                  <w:spacing w:before="240" w:line="480" w:lineRule="auto"/>
                  <w:jc w:val="center"/>
                  <w:rPr>
                    <w:b/>
                    <w:bCs/>
                    <w:rtl/>
                  </w:rPr>
                </w:pPr>
                <w:r>
                  <w:rPr>
                    <w:b/>
                    <w:bCs/>
                  </w:rPr>
                  <w:drawing>
                    <wp:inline distT="0" distB="0" distL="0" distR="0">
                      <wp:extent cx="971550" cy="31432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14325"/>
                              </a:xfrm>
                              <a:prstGeom prst="rect">
                                <a:avLst/>
                              </a:prstGeom>
                              <a:noFill/>
                              <a:ln>
                                <a:noFill/>
                              </a:ln>
                            </pic:spPr>
                          </pic:pic>
                        </a:graphicData>
                      </a:graphic>
                    </wp:inline>
                  </w:drawing>
                </w:r>
              </w:p>
            </w:sdtContent>
          </w:sdt>
        </w:tc>
        <w:tc>
          <w:tcPr>
            <w:tcW w:w="2891" w:type="dxa"/>
            <w:vAlign w:val="center"/>
            <w:hideMark/>
          </w:tcPr>
          <w:sdt>
            <w:sdtPr>
              <w:rPr>
                <w:rFonts w:cs="Times New Roman" w:hint="cs"/>
                <w:b/>
                <w:bCs/>
                <w:rtl/>
              </w:rPr>
              <w:alias w:val="MergeField"/>
              <w:tag w:val="2252"/>
              <w:id w:val="-551776489"/>
            </w:sdtPr>
            <w:sdtEndPr/>
            <w:sdtContent>
              <w:p w:rsidR="006D7615" w:rsidRDefault="006D7615">
                <w:pPr>
                  <w:spacing w:before="240" w:line="480" w:lineRule="auto"/>
                  <w:jc w:val="center"/>
                  <w:rPr>
                    <w:b/>
                    <w:bCs/>
                  </w:rPr>
                </w:pPr>
                <w:r>
                  <w:rPr>
                    <w:b/>
                    <w:bCs/>
                  </w:rPr>
                  <w:drawing>
                    <wp:inline distT="0" distB="0" distL="0" distR="0">
                      <wp:extent cx="1666875" cy="8763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6875" cy="876300"/>
                              </a:xfrm>
                              <a:prstGeom prst="rect">
                                <a:avLst/>
                              </a:prstGeom>
                              <a:noFill/>
                              <a:ln>
                                <a:noFill/>
                              </a:ln>
                            </pic:spPr>
                          </pic:pic>
                        </a:graphicData>
                      </a:graphic>
                    </wp:inline>
                  </w:drawing>
                </w:r>
              </w:p>
            </w:sdtContent>
          </w:sdt>
        </w:tc>
      </w:tr>
      <w:tr w:rsidR="006D7615" w:rsidTr="006D7615">
        <w:tc>
          <w:tcPr>
            <w:tcW w:w="2891" w:type="dxa"/>
            <w:vAlign w:val="center"/>
            <w:hideMark/>
          </w:tcPr>
          <w:p w:rsidR="006D7615" w:rsidRDefault="000D68D0">
            <w:pPr>
              <w:spacing w:before="240" w:line="480" w:lineRule="auto"/>
              <w:jc w:val="center"/>
              <w:rPr>
                <w:rFonts w:ascii="David" w:hAnsi="David"/>
                <w:b/>
                <w:bCs/>
              </w:rPr>
            </w:pPr>
            <w:sdt>
              <w:sdtPr>
                <w:rPr>
                  <w:b/>
                  <w:bCs/>
                  <w:rtl/>
                </w:rPr>
                <w:alias w:val="2235"/>
                <w:tag w:val="2235"/>
                <w:id w:val="2010870225"/>
              </w:sdtPr>
              <w:sdtEndPr/>
              <w:sdtContent>
                <w:r w:rsidR="006D7615">
                  <w:rPr>
                    <w:rFonts w:ascii="David" w:hAnsi="David"/>
                    <w:b/>
                    <w:bCs/>
                    <w:rtl/>
                  </w:rPr>
                  <w:t>גאולה</w:t>
                </w:r>
              </w:sdtContent>
            </w:sdt>
            <w:r w:rsidR="006D7615">
              <w:rPr>
                <w:b/>
                <w:bCs/>
                <w:rtl/>
              </w:rPr>
              <w:t xml:space="preserve">  </w:t>
            </w:r>
            <w:sdt>
              <w:sdtPr>
                <w:rPr>
                  <w:rFonts w:cs="Times New Roman" w:hint="cs"/>
                  <w:b/>
                  <w:bCs/>
                  <w:rtl/>
                </w:rPr>
                <w:alias w:val="2240"/>
                <w:tag w:val="2240"/>
                <w:id w:val="-1090933236"/>
              </w:sdtPr>
              <w:sdtEndPr/>
              <w:sdtContent>
                <w:r w:rsidR="006D7615">
                  <w:rPr>
                    <w:b/>
                    <w:bCs/>
                    <w:rtl/>
                  </w:rPr>
                  <w:t>לוין</w:t>
                </w:r>
              </w:sdtContent>
            </w:sdt>
            <w:r w:rsidR="006D7615">
              <w:rPr>
                <w:b/>
                <w:bCs/>
                <w:rtl/>
              </w:rPr>
              <w:t xml:space="preserve">, </w:t>
            </w:r>
            <w:sdt>
              <w:sdtPr>
                <w:rPr>
                  <w:rFonts w:cs="Times New Roman" w:hint="cs"/>
                  <w:b/>
                  <w:bCs/>
                  <w:rtl/>
                </w:rPr>
                <w:alias w:val="2245"/>
                <w:tag w:val="2245"/>
                <w:id w:val="1578787115"/>
              </w:sdtPr>
              <w:sdtEndPr/>
              <w:sdtContent>
                <w:r w:rsidR="006D7615">
                  <w:rPr>
                    <w:b/>
                    <w:bCs/>
                    <w:rtl/>
                  </w:rPr>
                  <w:t>שופטת</w:t>
                </w:r>
              </w:sdtContent>
            </w:sdt>
          </w:p>
        </w:tc>
        <w:tc>
          <w:tcPr>
            <w:tcW w:w="2891" w:type="dxa"/>
            <w:vAlign w:val="center"/>
            <w:hideMark/>
          </w:tcPr>
          <w:p w:rsidR="006D7615" w:rsidRDefault="000D68D0">
            <w:pPr>
              <w:spacing w:before="240" w:line="480" w:lineRule="auto"/>
              <w:jc w:val="center"/>
              <w:rPr>
                <w:rFonts w:ascii="David" w:hAnsi="David"/>
                <w:b/>
                <w:bCs/>
              </w:rPr>
            </w:pPr>
            <w:sdt>
              <w:sdtPr>
                <w:rPr>
                  <w:b/>
                  <w:bCs/>
                  <w:rtl/>
                </w:rPr>
                <w:alias w:val="2236"/>
                <w:tag w:val="2236"/>
                <w:id w:val="-63655205"/>
              </w:sdtPr>
              <w:sdtEndPr/>
              <w:sdtContent>
                <w:r w:rsidR="006D7615">
                  <w:rPr>
                    <w:rFonts w:ascii="David" w:hAnsi="David"/>
                    <w:b/>
                    <w:bCs/>
                    <w:rtl/>
                  </w:rPr>
                  <w:t>יעקב</w:t>
                </w:r>
              </w:sdtContent>
            </w:sdt>
            <w:r w:rsidR="006D7615">
              <w:rPr>
                <w:b/>
                <w:bCs/>
                <w:rtl/>
              </w:rPr>
              <w:t xml:space="preserve"> </w:t>
            </w:r>
            <w:sdt>
              <w:sdtPr>
                <w:rPr>
                  <w:rFonts w:cs="Times New Roman" w:hint="cs"/>
                  <w:b/>
                  <w:bCs/>
                  <w:rtl/>
                </w:rPr>
                <w:alias w:val="2241"/>
                <w:tag w:val="2241"/>
                <w:id w:val="-307633181"/>
              </w:sdtPr>
              <w:sdtEndPr/>
              <w:sdtContent>
                <w:r w:rsidR="006D7615">
                  <w:rPr>
                    <w:b/>
                    <w:bCs/>
                    <w:rtl/>
                  </w:rPr>
                  <w:t>דנינו</w:t>
                </w:r>
              </w:sdtContent>
            </w:sdt>
            <w:r w:rsidR="006D7615">
              <w:rPr>
                <w:b/>
                <w:bCs/>
                <w:rtl/>
              </w:rPr>
              <w:t xml:space="preserve">, </w:t>
            </w:r>
            <w:sdt>
              <w:sdtPr>
                <w:rPr>
                  <w:rFonts w:cs="Times New Roman" w:hint="cs"/>
                  <w:b/>
                  <w:bCs/>
                  <w:rtl/>
                </w:rPr>
                <w:alias w:val="2246"/>
                <w:tag w:val="2246"/>
                <w:id w:val="-675186054"/>
              </w:sdtPr>
              <w:sdtEndPr/>
              <w:sdtContent>
                <w:r w:rsidR="006D7615">
                  <w:rPr>
                    <w:b/>
                    <w:bCs/>
                    <w:rtl/>
                  </w:rPr>
                  <w:t>שופט</w:t>
                </w:r>
              </w:sdtContent>
            </w:sdt>
          </w:p>
        </w:tc>
        <w:tc>
          <w:tcPr>
            <w:tcW w:w="2891" w:type="dxa"/>
            <w:vAlign w:val="center"/>
            <w:hideMark/>
          </w:tcPr>
          <w:p w:rsidR="006D7615" w:rsidRDefault="000D68D0">
            <w:pPr>
              <w:spacing w:before="240" w:line="480" w:lineRule="auto"/>
              <w:jc w:val="center"/>
              <w:rPr>
                <w:rFonts w:ascii="David" w:hAnsi="David"/>
                <w:b/>
                <w:bCs/>
              </w:rPr>
            </w:pPr>
            <w:sdt>
              <w:sdtPr>
                <w:rPr>
                  <w:b/>
                  <w:bCs/>
                  <w:rtl/>
                </w:rPr>
                <w:alias w:val="2237"/>
                <w:tag w:val="2237"/>
                <w:id w:val="-64725057"/>
              </w:sdtPr>
              <w:sdtEndPr/>
              <w:sdtContent>
                <w:r w:rsidR="006D7615">
                  <w:rPr>
                    <w:rFonts w:ascii="David" w:hAnsi="David"/>
                    <w:b/>
                    <w:bCs/>
                    <w:rtl/>
                  </w:rPr>
                  <w:t>פאני גילת</w:t>
                </w:r>
              </w:sdtContent>
            </w:sdt>
            <w:r w:rsidR="006D7615">
              <w:rPr>
                <w:b/>
                <w:bCs/>
                <w:rtl/>
              </w:rPr>
              <w:t xml:space="preserve"> </w:t>
            </w:r>
            <w:sdt>
              <w:sdtPr>
                <w:rPr>
                  <w:rFonts w:cs="Times New Roman" w:hint="cs"/>
                  <w:b/>
                  <w:bCs/>
                  <w:rtl/>
                </w:rPr>
                <w:alias w:val="2242"/>
                <w:tag w:val="2242"/>
                <w:id w:val="-1947302182"/>
              </w:sdtPr>
              <w:sdtEndPr/>
              <w:sdtContent>
                <w:r w:rsidR="006D7615">
                  <w:rPr>
                    <w:b/>
                    <w:bCs/>
                    <w:rtl/>
                  </w:rPr>
                  <w:t>כהן</w:t>
                </w:r>
              </w:sdtContent>
            </w:sdt>
            <w:r w:rsidR="006D7615">
              <w:rPr>
                <w:b/>
                <w:bCs/>
                <w:rtl/>
              </w:rPr>
              <w:t xml:space="preserve">, </w:t>
            </w:r>
            <w:sdt>
              <w:sdtPr>
                <w:rPr>
                  <w:rFonts w:cs="Times New Roman" w:hint="cs"/>
                  <w:b/>
                  <w:bCs/>
                  <w:rtl/>
                </w:rPr>
                <w:alias w:val="2247"/>
                <w:tag w:val="2247"/>
                <w:id w:val="-1359430615"/>
              </w:sdtPr>
              <w:sdtEndPr/>
              <w:sdtContent>
                <w:r w:rsidR="006D7615">
                  <w:rPr>
                    <w:b/>
                    <w:bCs/>
                    <w:rtl/>
                  </w:rPr>
                  <w:t>שופטת</w:t>
                </w:r>
              </w:sdtContent>
            </w:sdt>
          </w:p>
        </w:tc>
      </w:tr>
      <w:tr w:rsidR="006D7615" w:rsidTr="006D7615">
        <w:tc>
          <w:tcPr>
            <w:tcW w:w="2891" w:type="dxa"/>
            <w:vAlign w:val="center"/>
          </w:tcPr>
          <w:p w:rsidR="006D7615" w:rsidRDefault="006D7615">
            <w:pPr>
              <w:spacing w:before="240" w:line="480" w:lineRule="auto"/>
              <w:rPr>
                <w:rFonts w:ascii="David" w:hAnsi="David"/>
                <w:rtl/>
              </w:rPr>
            </w:pPr>
          </w:p>
        </w:tc>
        <w:tc>
          <w:tcPr>
            <w:tcW w:w="2891" w:type="dxa"/>
            <w:vAlign w:val="center"/>
          </w:tcPr>
          <w:p w:rsidR="006D7615" w:rsidRDefault="006D7615">
            <w:pPr>
              <w:spacing w:before="240" w:line="480" w:lineRule="auto"/>
              <w:jc w:val="center"/>
              <w:rPr>
                <w:rFonts w:ascii="David" w:hAnsi="David"/>
                <w:rtl/>
              </w:rPr>
            </w:pPr>
          </w:p>
          <w:p w:rsidR="006D7615" w:rsidRDefault="006D7615">
            <w:pPr>
              <w:spacing w:before="240" w:line="480" w:lineRule="auto"/>
              <w:jc w:val="center"/>
              <w:rPr>
                <w:rFonts w:ascii="David" w:hAnsi="David"/>
                <w:rtl/>
              </w:rPr>
            </w:pPr>
          </w:p>
        </w:tc>
        <w:tc>
          <w:tcPr>
            <w:tcW w:w="2891" w:type="dxa"/>
            <w:vAlign w:val="center"/>
          </w:tcPr>
          <w:p w:rsidR="006D7615" w:rsidRDefault="006D7615">
            <w:pPr>
              <w:spacing w:before="240" w:line="480" w:lineRule="auto"/>
              <w:jc w:val="center"/>
              <w:rPr>
                <w:rFonts w:ascii="David" w:hAnsi="David"/>
                <w:rtl/>
              </w:rPr>
            </w:pPr>
          </w:p>
          <w:p w:rsidR="006D7615" w:rsidRDefault="006D7615">
            <w:pPr>
              <w:spacing w:before="240" w:line="480" w:lineRule="auto"/>
              <w:jc w:val="center"/>
              <w:rPr>
                <w:rFonts w:ascii="David" w:hAnsi="David"/>
                <w:rtl/>
              </w:rPr>
            </w:pPr>
          </w:p>
        </w:tc>
      </w:tr>
    </w:tbl>
    <w:p w:rsidR="006D7615" w:rsidRDefault="006D7615" w:rsidP="006D7615">
      <w:pPr>
        <w:spacing w:line="360" w:lineRule="auto"/>
        <w:jc w:val="both"/>
        <w:rPr>
          <w:rFonts w:ascii="Arial" w:hAnsi="Arial"/>
          <w:noProof w:val="0"/>
          <w:rtl/>
        </w:rPr>
      </w:pPr>
    </w:p>
    <w:p w:rsidR="00694556" w:rsidRPr="006D7615" w:rsidRDefault="00694556" w:rsidP="006D7615">
      <w:pPr>
        <w:rPr>
          <w:rtl/>
        </w:rPr>
      </w:pPr>
    </w:p>
    <w:sectPr w:rsidR="00694556" w:rsidRPr="006D7615"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C1F" w:rsidRDefault="00FB2C1F">
      <w:r>
        <w:separator/>
      </w:r>
    </w:p>
  </w:endnote>
  <w:endnote w:type="continuationSeparator" w:id="0">
    <w:p w:rsidR="00FB2C1F" w:rsidRDefault="00FB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615" w:rsidRDefault="006D76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D68D0">
      <w:rPr>
        <w:rStyle w:val="ab"/>
        <w:rFonts w:ascii="David" w:hAnsi="David"/>
        <w:rtl/>
      </w:rPr>
      <w:t>53</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D68D0">
      <w:rPr>
        <w:rStyle w:val="ab"/>
        <w:rFonts w:ascii="David" w:hAnsi="David"/>
        <w:rtl/>
      </w:rPr>
      <w:t>53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615" w:rsidRDefault="006D76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C1F" w:rsidRDefault="00FB2C1F">
      <w:r>
        <w:separator/>
      </w:r>
    </w:p>
  </w:footnote>
  <w:footnote w:type="continuationSeparator" w:id="0">
    <w:p w:rsidR="00FB2C1F" w:rsidRDefault="00FB2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615" w:rsidRDefault="006D76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D7615" w:rsidP="006D7615">
          <w:pPr>
            <w:rPr>
              <w:b/>
              <w:bCs/>
              <w:noProof w:val="0"/>
              <w:sz w:val="26"/>
              <w:szCs w:val="26"/>
              <w:rtl/>
            </w:rPr>
          </w:pPr>
          <w:r>
            <w:rPr>
              <w:rFonts w:hint="cs"/>
              <w:b/>
              <w:bCs/>
              <w:noProof w:val="0"/>
              <w:sz w:val="26"/>
              <w:szCs w:val="26"/>
              <w:rtl/>
            </w:rPr>
            <w:t xml:space="preserve">לפני כב' השופטת גאולה לוין </w:t>
          </w:r>
          <w:r>
            <w:rPr>
              <w:b/>
              <w:bCs/>
              <w:noProof w:val="0"/>
              <w:sz w:val="26"/>
              <w:szCs w:val="26"/>
              <w:rtl/>
            </w:rPr>
            <w:t>–</w:t>
          </w:r>
          <w:r>
            <w:rPr>
              <w:rFonts w:hint="cs"/>
              <w:b/>
              <w:bCs/>
              <w:noProof w:val="0"/>
              <w:sz w:val="26"/>
              <w:szCs w:val="26"/>
              <w:rtl/>
            </w:rPr>
            <w:t xml:space="preserve"> אב"ד                                             עמ"ש 24918-04-24</w:t>
          </w:r>
          <w:r w:rsidR="007C2453">
            <w:rPr>
              <w:b/>
              <w:bCs/>
              <w:noProof w:val="0"/>
              <w:sz w:val="26"/>
              <w:szCs w:val="26"/>
              <w:rtl/>
            </w:rPr>
            <w:t xml:space="preserve"> </w:t>
          </w:r>
        </w:p>
        <w:p w:rsidR="006D7615" w:rsidRDefault="006D7615" w:rsidP="006D7615">
          <w:pPr>
            <w:rPr>
              <w:b/>
              <w:bCs/>
              <w:noProof w:val="0"/>
              <w:sz w:val="26"/>
              <w:szCs w:val="26"/>
              <w:rtl/>
            </w:rPr>
          </w:pPr>
          <w:r>
            <w:rPr>
              <w:rFonts w:hint="cs"/>
              <w:b/>
              <w:bCs/>
              <w:noProof w:val="0"/>
              <w:sz w:val="26"/>
              <w:szCs w:val="26"/>
              <w:rtl/>
            </w:rPr>
            <w:t xml:space="preserve">        כב' השופט יעקב דנינו </w:t>
          </w:r>
        </w:p>
        <w:p w:rsidR="008D10B2" w:rsidRPr="006D7615" w:rsidRDefault="006D7615" w:rsidP="006D7615">
          <w:pPr>
            <w:rPr>
              <w:b/>
              <w:bCs/>
              <w:noProof w:val="0"/>
              <w:sz w:val="26"/>
              <w:szCs w:val="26"/>
              <w:rtl/>
            </w:rPr>
          </w:pPr>
          <w:r>
            <w:rPr>
              <w:rFonts w:hint="cs"/>
              <w:b/>
              <w:bCs/>
              <w:noProof w:val="0"/>
              <w:sz w:val="26"/>
              <w:szCs w:val="26"/>
              <w:rtl/>
            </w:rPr>
            <w:t xml:space="preserve">        כב' השופטת פאני גילת כהן    </w:t>
          </w:r>
          <w:r w:rsidR="007D45E3">
            <w:rPr>
              <w:rFonts w:hint="cs"/>
              <w:rtl/>
            </w:rPr>
            <w:t xml:space="preserve">                         </w:t>
          </w:r>
          <w:r w:rsidR="007D45E3">
            <w:rPr>
              <w:rFonts w:hint="cs"/>
              <w:sz w:val="20"/>
              <w:szCs w:val="20"/>
              <w:rtl/>
            </w:rPr>
            <w:t xml:space="preserve">                                       </w:t>
          </w:r>
        </w:p>
      </w:tc>
    </w:tr>
  </w:tbl>
  <w:p w:rsidR="00694556" w:rsidRDefault="00694556">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615" w:rsidRDefault="006D76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F50D74"/>
    <w:multiLevelType w:val="hybridMultilevel"/>
    <w:tmpl w:val="79669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5C07C7F"/>
    <w:multiLevelType w:val="hybridMultilevel"/>
    <w:tmpl w:val="1EF4D02E"/>
    <w:lvl w:ilvl="0" w:tplc="A84AAF86">
      <w:start w:val="1"/>
      <w:numFmt w:val="decimal"/>
      <w:lvlText w:val="%1."/>
      <w:lvlJc w:val="left"/>
      <w:pPr>
        <w:ind w:left="2912"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C9A55C4"/>
    <w:multiLevelType w:val="hybridMultilevel"/>
    <w:tmpl w:val="8354CF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D1406F5"/>
    <w:multiLevelType w:val="hybridMultilevel"/>
    <w:tmpl w:val="C0AE5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cumentProtection w:edit="readOnly" w:enforcement="1" w:cryptProviderType="rsaAES" w:cryptAlgorithmClass="hash" w:cryptAlgorithmType="typeAny" w:cryptAlgorithmSid="14" w:cryptSpinCount="100000" w:hash="2PQEe8TswP5lWyNzM/0hiYdvLwAXy5P5RgXxS+CAG4Ou1sPAj8SUELQxljGgcDjjJZ0NSbTZ55PrjuZo91aNxQ==" w:salt="2hDT/aEGgbLBkbCOf+LIB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456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45682&amp;lt;/CaseID&amp;gt;_x000d__x000a_        &amp;lt;CaseMonth&amp;gt;4&amp;lt;/CaseMonth&amp;gt;_x000d__x000a_        &amp;lt;CaseYear&amp;gt;2024&amp;lt;/CaseYear&amp;gt;_x000d__x000a_        &amp;lt;CaseNumber&amp;gt;24918&amp;lt;/CaseNumber&amp;gt;_x000d__x000a_        &amp;lt;NumeratorGroupID&amp;gt;1&amp;lt;/NumeratorGroupID&amp;gt;_x000d__x000a_        &amp;lt;CaseName&amp;gt;פרגפור נ&amp;#39; פורקוש ואח&amp;#39;&amp;lt;/CaseName&amp;gt;_x000d__x000a_        &amp;lt;CourtID&amp;gt;16&amp;lt;/CourtID&amp;gt;_x000d__x000a_        &amp;lt;CaseTypeID&amp;gt;63&amp;lt;/CaseTypeID&amp;gt;_x000d__x000a_        &amp;lt;CaseInterestID&amp;gt;67&amp;lt;/CaseInterestID&amp;gt;_x000d__x000a_        &amp;lt;CaseJudgeName&amp;gt;גאולה לוי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4918-04-24&amp;lt;/CaseDisplayIdentifier&amp;gt;_x000d__x000a_        &amp;lt;CaseTypeDesc&amp;gt;עמ&amp;quot;ש&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4-04-10T09:45: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גאולה&amp;lt;/CaseJudgeFirstName&amp;gt;_x000d__x000a_        &amp;lt;CaseJudgeLastName&amp;gt;לוין&amp;lt;/CaseJudgeLastName&amp;gt;_x000d__x000a_        &amp;lt;JudicalPersonID&amp;gt;016579955@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CaseDesc&amp;gt;התיק הועבר לשופטת לבקשתה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45682&amp;lt;/CaseID&amp;gt;_x000d__x000a_        &amp;lt;CaseMonth&amp;gt;4&amp;lt;/CaseMonth&amp;gt;_x000d__x000a_        &amp;lt;CaseYear&amp;gt;2024&amp;lt;/CaseYear&amp;gt;_x000d__x000a_        &amp;lt;CaseNumber&amp;gt;24918&amp;lt;/CaseNumber&amp;gt;_x000d__x000a_        &amp;lt;NumeratorGroupID&amp;gt;1&amp;lt;/NumeratorGroupID&amp;gt;_x000d__x000a_        &amp;lt;CaseName&amp;gt;פרגפור נ&amp;#39; פורקוש ואח&amp;#39;&amp;lt;/CaseName&amp;gt;_x000d__x000a_        &amp;lt;CourtID&amp;gt;16&amp;lt;/CourtID&amp;gt;_x000d__x000a_        &amp;lt;CaseTypeID&amp;gt;63&amp;lt;/CaseTypeID&amp;gt;_x000d__x000a_        &amp;lt;CaseInterestID&amp;gt;67&amp;lt;/CaseInterestID&amp;gt;_x000d__x000a_        &amp;lt;CaseJudgeName&amp;gt;גאולה לוי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4918-04-24&amp;lt;/CaseDisplayIdentifier&amp;gt;_x000d__x000a_        &amp;lt;CaseTypeDesc&amp;gt;עמ&amp;quot;ש&amp;lt;/CaseTypeDesc&amp;gt;_x000d__x000a_        &amp;lt;CourtDesc&amp;gt;המחוזי באר שבע&amp;lt;/CourtDesc&amp;gt;_x000d__x000a_        &amp;lt;CaseStageDesc&amp;gt;תיק אלקטרוני&amp;lt;/CaseStageDesc&amp;gt;_x000d__x000a_        &amp;lt;CaseNextDeterminingTask&amp;gt;152&amp;lt;/CaseNextDeterminingTask&amp;gt;_x000d__x000a_        &amp;lt;CaseOpenDate&amp;gt;2024-04-10T09:45: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גאולה&amp;lt;/CaseJudgeFirstName&amp;gt;_x000d__x000a_        &amp;lt;CaseJudgeLastName&amp;gt;לוין&amp;lt;/CaseJudgeLastName&amp;gt;_x000d__x000a_        &amp;lt;JudicalPersonID&amp;gt;016579955@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CaseDesc&amp;gt;התיק הועבר לשופטת לבקשתה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319439&amp;lt;/DecisionID&amp;gt;_x000d__x000a_        &amp;lt;DecisionName&amp;gt;פסק דין  שניתנה ע&amp;quot;י  גאולה לוין&amp;lt;/DecisionName&amp;gt;_x000d__x000a_        &amp;lt;DecisionStatusID&amp;gt;1&amp;lt;/DecisionStatusID&amp;gt;_x000d__x000a_        &amp;lt;DecisionStatusChangeDate&amp;gt;2024-11-26T16:44:36.03+02:00&amp;lt;/DecisionStatusChangeDate&amp;gt;_x000d__x000a_        &amp;lt;DecisionSignatureDate&amp;gt;2024-11-26T16:33:14.633+02:00&amp;lt;/DecisionSignatureDate&amp;gt;_x000d__x000a_        &amp;lt;DecisionSignatureUserID&amp;gt;016579955@GOV.IL&amp;lt;/DecisionSignatureUserID&amp;gt;_x000d__x000a_        &amp;lt;DecisionCreateDate&amp;gt;2024-11-26T16:38:28.397+02:00&amp;lt;/DecisionCreateDate&amp;gt;_x000d__x000a_        &amp;lt;DecisionChangeDate&amp;gt;2024-11-26T16:44:36.07+02:00&amp;lt;/DecisionChangeDate&amp;gt;_x000d__x000a_        &amp;lt;DecisionChangeUserID&amp;gt;02972812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9211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57995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728128@GOV.IL&amp;lt;/DecisionCreationUserID&amp;gt;_x000d__x000a_        &amp;lt;DecisionDisplayName&amp;gt;פסק דין  שניתנה ע&amp;quot;י  גאולה לוין&amp;lt;/DecisionDisplayName&amp;gt;_x000d__x000a_        &amp;lt;IsScanned&amp;gt;false&amp;lt;/IsScanned&amp;gt;_x000d__x000a_        &amp;lt;DecisionSignatureUserName&amp;gt;גאולה לו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6319439&amp;lt;/DecisionID&amp;gt;_x000d__x000a_        &amp;lt;CaseID&amp;gt;81145682&amp;lt;/CaseID&amp;gt;_x000d__x000a_        &amp;lt;IsOriginal&amp;gt;true&amp;lt;/IsOriginal&amp;gt;_x000d__x000a_        &amp;lt;IsDeleted&amp;gt;false&amp;lt;/IsDeleted&amp;gt;_x000d__x000a_        &amp;lt;CaseName&amp;gt;פרגפור נ&amp;#39; פורקוש ואח&amp;#39;&amp;lt;/CaseName&amp;gt;_x000d__x000a_        &amp;lt;CaseDisplayIdentifier&amp;gt;24918-04-24 עמ&amp;quot;ש&amp;lt;/CaseDisplayIdentifier&amp;gt;_x000d__x000a_      &amp;lt;/dt_DecisionCase&amp;gt;_x000d__x000a_      &amp;lt;dt_DecisionJudgePanel diffgr:id=&amp;quot;dt_DecisionJudgePanel1&amp;quot; msdata:rowOrder=&amp;quot;0&amp;quot;&amp;gt;_x000d__x000a_        &amp;lt;DecisionID&amp;gt;156319439&amp;lt;/DecisionID&amp;gt;_x000d__x000a_        &amp;lt;JudgeID&amp;gt;01657995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6319439&amp;lt;/DecisionID&amp;gt;_x000d__x000a_        &amp;lt;JudgeID&amp;gt;029728128@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6319439&amp;lt;/DecisionID&amp;gt;_x000d__x000a_        &amp;lt;JudgeID&amp;gt;028861425@GOV.IL&amp;lt;/JudgeID&amp;gt;_x000d__x000a_        &amp;lt;OrdinalNumber&amp;gt;3&amp;lt;/OrdinalNumber&amp;gt;_x000d__x000a_      &amp;lt;/dt_DecisionJudgePanel&amp;gt;_x000d__x000a_    &amp;lt;/DecisionDS&amp;gt;_x000d__x000a_  &amp;lt;/diffgr:diffgram&amp;gt;_x000d__x000a_&amp;lt;/DecisionDS&amp;gt;"/>
    <w:docVar w:name="DecisionID" w:val="156319439"/>
    <w:docVar w:name="docID" w:val="461921111"/>
    <w:docVar w:name="judgeUPN" w:val="016579955@GOV.IL"/>
    <w:docVar w:name="NGCS.TemplateCaseInterestID" w:val="67"/>
    <w:docVar w:name="NGCS.TemplateCaseTypeID" w:val="63"/>
    <w:docVar w:name="NGCS.TemplateCourtID" w:val="16"/>
    <w:docVar w:name="NGCS.TemplateProceedingID" w:val="14"/>
    <w:docVar w:name="noteDocID" w:val="461921111"/>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D68D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17BD6"/>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57D6"/>
    <w:rsid w:val="00520898"/>
    <w:rsid w:val="00523621"/>
    <w:rsid w:val="00524986"/>
    <w:rsid w:val="005268F6"/>
    <w:rsid w:val="00534284"/>
    <w:rsid w:val="0054140F"/>
    <w:rsid w:val="00547DB7"/>
    <w:rsid w:val="00557717"/>
    <w:rsid w:val="00576A86"/>
    <w:rsid w:val="005B6EB8"/>
    <w:rsid w:val="005C22EF"/>
    <w:rsid w:val="005F4F09"/>
    <w:rsid w:val="00603F73"/>
    <w:rsid w:val="0061431B"/>
    <w:rsid w:val="00622BAA"/>
    <w:rsid w:val="006306CF"/>
    <w:rsid w:val="00644E9A"/>
    <w:rsid w:val="00671BD5"/>
    <w:rsid w:val="006805C1"/>
    <w:rsid w:val="00686C21"/>
    <w:rsid w:val="006931C1"/>
    <w:rsid w:val="00694556"/>
    <w:rsid w:val="006C30C5"/>
    <w:rsid w:val="006D3B31"/>
    <w:rsid w:val="006D7615"/>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7E18"/>
    <w:rsid w:val="0094424E"/>
    <w:rsid w:val="00955642"/>
    <w:rsid w:val="009622DF"/>
    <w:rsid w:val="0096493F"/>
    <w:rsid w:val="00967DFF"/>
    <w:rsid w:val="00994341"/>
    <w:rsid w:val="009B0EB1"/>
    <w:rsid w:val="009D1A48"/>
    <w:rsid w:val="009E0EA5"/>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63A7E"/>
    <w:rsid w:val="00B809AD"/>
    <w:rsid w:val="00B80CBD"/>
    <w:rsid w:val="00B859C5"/>
    <w:rsid w:val="00B86096"/>
    <w:rsid w:val="00B964D9"/>
    <w:rsid w:val="00BA0A7C"/>
    <w:rsid w:val="00BA3CA0"/>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1FA9"/>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D3F2F"/>
    <w:rsid w:val="00F038D8"/>
    <w:rsid w:val="00F06995"/>
    <w:rsid w:val="00F12D66"/>
    <w:rsid w:val="00F13623"/>
    <w:rsid w:val="00F26D4A"/>
    <w:rsid w:val="00F4204C"/>
    <w:rsid w:val="00F44D1D"/>
    <w:rsid w:val="00F84B6D"/>
    <w:rsid w:val="00F957E8"/>
    <w:rsid w:val="00FA311A"/>
    <w:rsid w:val="00FA5FDA"/>
    <w:rsid w:val="00FB2C1F"/>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D76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92407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603B5CFA17D4E60B1E23B7FAB8269F9"/>
        <w:category>
          <w:name w:val="כללי"/>
          <w:gallery w:val="placeholder"/>
        </w:category>
        <w:types>
          <w:type w:val="bbPlcHdr"/>
        </w:types>
        <w:behaviors>
          <w:behavior w:val="content"/>
        </w:behaviors>
        <w:guid w:val="{7A414C09-E437-4FA0-B840-37820E21271F}"/>
      </w:docPartPr>
      <w:docPartBody>
        <w:p w:rsidR="00BA65F7" w:rsidRDefault="00450C8B" w:rsidP="00450C8B">
          <w:pPr>
            <w:pStyle w:val="9603B5CFA17D4E60B1E23B7FAB8269F9"/>
          </w:pPr>
          <w:r>
            <w:rPr>
              <w:rFonts w:ascii="Arial" w:hAnsi="Arial"/>
              <w:b/>
              <w:bCs/>
              <w:sz w:val="26"/>
              <w:szCs w:val="26"/>
              <w:rtl/>
            </w:rPr>
            <w:t>שם צד א' ללא שם של חסוי</w:t>
          </w:r>
        </w:p>
      </w:docPartBody>
    </w:docPart>
    <w:docPart>
      <w:docPartPr>
        <w:name w:val="B5E6C781DC2D4A88A57ED6813AF48695"/>
        <w:category>
          <w:name w:val="כללי"/>
          <w:gallery w:val="placeholder"/>
        </w:category>
        <w:types>
          <w:type w:val="bbPlcHdr"/>
        </w:types>
        <w:behaviors>
          <w:behavior w:val="content"/>
        </w:behaviors>
        <w:guid w:val="{62335C76-12D7-4D68-ACC5-EE70BE9AE3D0}"/>
      </w:docPartPr>
      <w:docPartBody>
        <w:p w:rsidR="00BA65F7" w:rsidRDefault="00450C8B" w:rsidP="00450C8B">
          <w:pPr>
            <w:pStyle w:val="B5E6C781DC2D4A88A57ED6813AF48695"/>
          </w:pPr>
          <w:r>
            <w:rPr>
              <w:rFonts w:ascii="Arial" w:hAnsi="Arial"/>
              <w:b/>
              <w:bCs/>
              <w:sz w:val="26"/>
              <w:szCs w:val="26"/>
              <w:rtl/>
            </w:rPr>
            <w:t>שם צד ב' ללא שם של חסוי</w:t>
          </w:r>
        </w:p>
      </w:docPartBody>
    </w:docPart>
    <w:docPart>
      <w:docPartPr>
        <w:name w:val="2FFB4C422678450AA8F963A0A1700447"/>
        <w:category>
          <w:name w:val="כללי"/>
          <w:gallery w:val="placeholder"/>
        </w:category>
        <w:types>
          <w:type w:val="bbPlcHdr"/>
        </w:types>
        <w:behaviors>
          <w:behavior w:val="content"/>
        </w:behaviors>
        <w:guid w:val="{22164B59-D6FE-4657-9064-51A4843067BF}"/>
      </w:docPartPr>
      <w:docPartBody>
        <w:p w:rsidR="00BA65F7" w:rsidRDefault="00450C8B" w:rsidP="00450C8B">
          <w:pPr>
            <w:pStyle w:val="2FFB4C422678450AA8F963A0A1700447"/>
          </w:pPr>
          <w:r>
            <w:rPr>
              <w:rFonts w:cs="David"/>
              <w:b/>
              <w:bCs/>
              <w:rtl/>
            </w:rPr>
            <w:t>שם פרטי חותם</w:t>
          </w:r>
        </w:p>
      </w:docPartBody>
    </w:docPart>
    <w:docPart>
      <w:docPartPr>
        <w:name w:val="70765864B28F4D37BAF5D8F33A19F34C"/>
        <w:category>
          <w:name w:val="כללי"/>
          <w:gallery w:val="placeholder"/>
        </w:category>
        <w:types>
          <w:type w:val="bbPlcHdr"/>
        </w:types>
        <w:behaviors>
          <w:behavior w:val="content"/>
        </w:behaviors>
        <w:guid w:val="{E57294AE-239D-4DDD-AA86-D70DFD38027B}"/>
      </w:docPartPr>
      <w:docPartBody>
        <w:p w:rsidR="00BA65F7" w:rsidRDefault="00450C8B" w:rsidP="00450C8B">
          <w:pPr>
            <w:pStyle w:val="70765864B28F4D37BAF5D8F33A19F34C"/>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2D2A44"/>
    <w:rsid w:val="0030316D"/>
    <w:rsid w:val="00345C9D"/>
    <w:rsid w:val="00450C8B"/>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A65F7"/>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9603B5CFA17D4E60B1E23B7FAB8269F9">
    <w:name w:val="9603B5CFA17D4E60B1E23B7FAB8269F9"/>
    <w:rsid w:val="00450C8B"/>
    <w:pPr>
      <w:bidi/>
      <w:spacing w:after="160" w:line="259" w:lineRule="auto"/>
    </w:pPr>
  </w:style>
  <w:style w:type="paragraph" w:customStyle="1" w:styleId="B5E6C781DC2D4A88A57ED6813AF48695">
    <w:name w:val="B5E6C781DC2D4A88A57ED6813AF48695"/>
    <w:rsid w:val="00450C8B"/>
    <w:pPr>
      <w:bidi/>
      <w:spacing w:after="160" w:line="259" w:lineRule="auto"/>
    </w:pPr>
  </w:style>
  <w:style w:type="paragraph" w:customStyle="1" w:styleId="2FFB4C422678450AA8F963A0A1700447">
    <w:name w:val="2FFB4C422678450AA8F963A0A1700447"/>
    <w:rsid w:val="00450C8B"/>
    <w:pPr>
      <w:bidi/>
      <w:spacing w:after="160" w:line="259" w:lineRule="auto"/>
    </w:pPr>
  </w:style>
  <w:style w:type="paragraph" w:customStyle="1" w:styleId="70765864B28F4D37BAF5D8F33A19F34C">
    <w:name w:val="70765864B28F4D37BAF5D8F33A19F34C"/>
    <w:rsid w:val="00450C8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משרד הבריאות</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268900003</CasePartyID>
        <PartyTypeID>2</PartyTypeID>
        <ActivityStatusID>1</ActivityStatusID>
        <PartyAliasID>23</PartyAliasID>
        <PartyAliasName>בא כוח משיבים</PartyAliasName>
        <LegalEntityID>397533</LegalEntityID>
        <CaseLegalEntityID>128504232</CaseLegalEntityID>
        <AuthenticationTypeID>4</AuthenticationTypeID>
        <AuthenticationTypeName>מ.ר.</AuthenticationTypeName>
        <LegalEntityNumber>16699</LegalEntityNumber>
        <IsMainPartyType>true</IsMainPartyType>
        <CaseDisplayIdentifier>24918-04-24</CaseDisplayIdentifier>
        <CaseTypeID>63</CaseTypeID>
        <CaseTypeName>ערעור משפחה (עמ"ש)</CaseTypeName>
        <CaseName>פרגפור נ' פורקוש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נועם אביטל ברשד</FullName>
        <FirstName>נועם</FirstName>
        <LastName>אביטל ברשד</LastName>
        <PartyPropertyName/>
        <AuthenticationTypeAndNumber>מ.ר. 66348</AuthenticationTypeAndNumber>
        <RepresentatedOrRepresentativesNames>מרכז הרפואי האוניברסיטאי סורוקה</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268900392</CasePartyID>
        <PartyTypeID>2</PartyTypeID>
        <ActivityStatusID>1</ActivityStatusID>
        <PartyAliasID>23</PartyAliasID>
        <PartyAliasName>בא כוח משיבים</PartyAliasName>
        <LegalEntityID>79680305</LegalEntityID>
        <CaseLegalEntityID>128504347</CaseLegalEntityID>
        <AuthenticationTypeID>4</AuthenticationTypeID>
        <AuthenticationTypeName>מ.ר.</AuthenticationTypeName>
        <LegalEntityNumber>66348</LegalEntityNumber>
        <IsMainPartyType>true</IsMainPartyType>
        <CaseDisplayIdentifier>24918-04-24</CaseDisplayIdentifier>
        <CaseTypeID>63</CaseTypeID>
        <CaseTypeName>ערעור משפחה (עמ"ש)</CaseTypeName>
        <CaseName>פרגפור נ' פורקוש ואח'</CaseName>
        <FullAddress>ארלוזרוב 101 תל אביב -יפו </FullAddress>
        <EmailAddress>eyalza@clalit.org.il</EmailAddress>
        <MotionID>0</MotionID>
        <CasePleaID>0</CasePleaID>
        <LinkedCaseID>0</LinkedCaseID>
        <PartyID>2</PartyID>
        <CasePartyCategoryID>2</CasePartyCategoryID>
        <LegalEntityAddressID>82811465</LegalEntityAddressID>
        <LegalEntityEmailAddressID>68298530</LegalEntityEmailAddressID>
        <PleaTypeID>6</PleaTypeID>
        <LawyerOfficeName>לשכה משפטית שירותי בריאות כללית </LawyerOfficeName>
        <LawyerOfficeID>453056</LawyerOfficeID>
        <GroupPartyAlias/>
        <IsConverted>false</IsConverted>
        <LegalEntityNameID>91201658</LegalEntityNameID>
        <RepresentatedNamesOfAssistant/>
        <LegalEntityTypeID>4</LegalEntityTypeID>
        <IsVerdictExists>false</IsVerdictExists>
        <IsAsirAzir>false</IsAsirAzir>
        <MainAndSecSpec/>
        <IsPublicationProhibited>false</IsPublicationProhibited>
        <PublicationProhibitedFullName>נועם אביטל ברשד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דור שוורץ</FullName>
        <FirstName>דור</FirstName>
        <LastName>שוורץ</LastName>
        <PartyPropertyName/>
        <AuthenticationTypeAndNumber>מ.ר. 34979</AuthenticationTypeAndNumber>
        <RepresentatedOrRepresentativesNames>חגית פורקוש</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269818032</CasePartyID>
        <PartyTypeID>2</PartyTypeID>
        <ActivityStatusID>1</ActivityStatusID>
        <PartyAliasID>23</PartyAliasID>
        <PartyAliasName>בא כוח משיבים</PartyAliasName>
        <LegalEntityID>408963</LegalEntityID>
        <CaseLegalEntityID>128776561</CaseLegalEntityID>
        <AuthenticationTypeID>4</AuthenticationTypeID>
        <AuthenticationTypeName>מ.ר.</AuthenticationTypeName>
        <LegalEntityNumber>34979</LegalEntityNumber>
        <IsMainPartyType>true</IsMainPartyType>
        <CaseDisplayIdentifier>24918-04-24</CaseDisplayIdentifier>
        <CaseTypeID>63</CaseTypeID>
        <CaseTypeName>ערעור משפחה (עמ"ש)</CaseTypeName>
        <CaseName>פרגפור נ' פורקוש ואח'</CaseName>
        <FullAddress>אח"י אילת 9/1 חיפה </FullAddress>
        <EmailAddress>sec@sb-adv.co.il</EmailAddress>
        <MotionID>0</MotionID>
        <CasePleaID>0</CasePleaID>
        <LinkedCaseID>0</LinkedCaseID>
        <PartyID>2</PartyID>
        <CasePartyCategoryID>2</CasePartyCategoryID>
        <LegalEntityAddressID>78448930</LegalEntityAddressID>
        <LegalEntityEmailAddressID>67904152</LegalEntityEmailAddressID>
        <PleaTypeID>6</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MainAndSecSpec/>
        <IsPublicationProhibited>false</IsPublicationProhibited>
        <PublicationProhibitedFullName>דור שוורץ</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דיינה הר-אבן</FullName>
        <FirstName>דיינה</FirstName>
        <LastName>הר-אבן</LastName>
        <PartyPropertyName/>
        <AuthenticationTypeAndNumber>מ.ר. 8477</AuthenticationTypeAndNumber>
        <RepresentatedOrRepresentativesNames>איל פרגפור</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268882331</CasePartyID>
        <PartyTypeID>2</PartyTypeID>
        <ActivityStatusID>1</ActivityStatusID>
        <PartyAliasID>24</PartyAliasID>
        <PartyAliasName>בא כוח מערערים</PartyAliasName>
        <OrdinalNumber>1</OrdinalNumber>
        <LegalEntityID>394064</LegalEntityID>
        <CaseLegalEntityID>128498640</CaseLegalEntityID>
        <AuthenticationTypeID>4</AuthenticationTypeID>
        <AuthenticationTypeName>מ.ר.</AuthenticationTypeName>
        <LegalEntityNumber>8477</LegalEntityNumber>
        <IsMainPartyType>true</IsMainPartyType>
        <CaseDisplayIdentifier>24918-04-24</CaseDisplayIdentifier>
        <CaseTypeID>63</CaseTypeID>
        <CaseTypeName>ערעור משפחה (עמ"ש)</CaseTypeName>
        <CaseName>פרגפור נ' פורקוש ואח'</CaseName>
        <FullAddress>יסעור 27 סביון* </FullAddress>
        <MotionID>0</MotionID>
        <CasePleaID>0</CasePleaID>
        <LinkedCaseID>0</LinkedCaseID>
        <PartyID>1</PartyID>
        <CasePartyCategoryID>2</CasePartyCategoryID>
        <LegalEntityAddressID>84402332</LegalEntityAddressID>
        <PleaTypeID>6</PleaTypeID>
        <LawyerOfficeName>משרד עו"ד: דיינה הר-אבן</LawyerOfficeName>
        <LawyerOfficeID>434708</LawyerOfficeID>
        <GroupPartyAlias/>
        <IsConverted>false</IsConverted>
        <LegalEntityNameID>15048</LegalEntityNameID>
        <RepresentatedNamesOfAssistant/>
        <LegalEntityTypeID>4</LegalEntityTypeID>
        <IsVerdictExists>false</IsVerdictExists>
        <IsAsirAzir>false</IsAsirAzir>
        <MainAndSecSpec/>
        <IsPublicationProhibited>false</IsPublicationProhibited>
        <PublicationProhibitedFullName>דיינה הר-אבן</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איל פרגפור</FullName>
        <FirstName>איל</FirstName>
        <LastName>פרגפור</LastName>
        <PartyPropertyName/>
        <AuthenticationTypeAndNumber>ת"ז 039464714</AuthenticationTypeAndNumber>
        <RepresentatedOrRepresentativesNames>דיינה הר-אבן</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268882325</CasePartyID>
        <PartyTypeID>1</PartyTypeID>
        <ActivityStatusID>1</ActivityStatusID>
        <PartyAliasID>5</PartyAliasID>
        <PartyAliasName>מערער</PartyAliasName>
        <OrdinalNumber>1</OrdinalNumber>
        <LegalEntityID>77257255</LegalEntityID>
        <CaseLegalEntityID>128498634</CaseLegalEntityID>
        <AuthenticationTypeID>1</AuthenticationTypeID>
        <AuthenticationTypeName>ת"ז</AuthenticationTypeName>
        <LegalEntityNumber>039464714</LegalEntityNumber>
        <IsMainPartyType>true</IsMainPartyType>
        <CaseDisplayIdentifier>24918-04-24</CaseDisplayIdentifier>
        <CaseTypeID>63</CaseTypeID>
        <CaseTypeName>ערעור משפחה (עמ"ש)</CaseTypeName>
        <CaseName>פרגפור נ' פורקוש ואח'</CaseName>
        <FullAddress>עכו 12 באר שבע </FullAddress>
        <MotionID>0</MotionID>
        <CasePleaID>0</CasePleaID>
        <FatherName>רחמים</FatherName>
        <LinkedCaseID>0</LinkedCaseID>
        <PartyID>1</PartyID>
        <CasePartyCategoryID>2</CasePartyCategoryID>
        <LegalEntityAddressID>84559491</LegalEntityAddressID>
        <PleaTypeID>6</PleaTypeID>
        <GroupPartyAlias>מערערים</GroupPartyAlias>
        <IsConverted>false</IsConverted>
        <LegalEntityRegisteredNameID>7546394</LegalEntityRegisteredNameID>
        <LegalEntityNameID>90526748</LegalEntityNameID>
        <RepresentatedNamesOfAssistant/>
        <LegalEntityTypeID>1</LegalEntityTypeID>
        <IsVerdictExists>false</IsVerdictExists>
        <IsAsirAzir>false</IsAsirAzir>
        <MainAndSecSpec/>
        <IsPublicationProhibited>false</IsPublicationProhibited>
        <PublicationProhibitedFullName>איל פרגפור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בר שוורץ</FullName>
        <FirstName>בר</FirstName>
        <LastName>שוורץ</LastName>
        <PartyPropertyName/>
        <AuthenticationTypeAndNumber>מ.ר. 81543</AuthenticationTypeAndNumber>
        <RepresentatedOrRepresentativesNames>חגית פורקוש</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268882332</CasePartyID>
        <PartyTypeID>2</PartyTypeID>
        <ActivityStatusID>1</ActivityStatusID>
        <PartyAliasID>23</PartyAliasID>
        <PartyAliasName>בא כוח משיבים</PartyAliasName>
        <OrdinalNumber>1</OrdinalNumber>
        <LegalEntityID>77576061</LegalEntityID>
        <CaseLegalEntityID>128498641</CaseLegalEntityID>
        <AuthenticationTypeID>4</AuthenticationTypeID>
        <AuthenticationTypeName>מ.ר.</AuthenticationTypeName>
        <LegalEntityNumber>81543</LegalEntityNumber>
        <IsMainPartyType>true</IsMainPartyType>
        <CaseDisplayIdentifier>24918-04-24</CaseDisplayIdentifier>
        <CaseTypeID>63</CaseTypeID>
        <CaseTypeName>ערעור משפחה (עמ"ש)</CaseTypeName>
        <CaseName>פרגפור נ' פורקוש ואח'</CaseName>
        <FullAddress>פורצי הדרך 4 אשדוד </FullAddress>
        <MotionID>0</MotionID>
        <CasePleaID>0</CasePleaID>
        <LinkedCaseID>0</LinkedCaseID>
        <PartyID>2</PartyID>
        <CasePartyCategoryID>2</CasePartyCategoryID>
        <LegalEntityAddressID>81791195</LegalEntityAddressID>
        <PleaTypeID>6</PleaTypeID>
        <LawyerOfficeName>משרד עו"ד בר שוורץ</LawyerOfficeName>
        <LawyerOfficeID>77576062</LawyerOfficeID>
        <GroupPartyAlias/>
        <IsConverted>false</IsConverted>
        <LegalEntityNameID>86532886</LegalEntityNameID>
        <RepresentatedNamesOfAssistant/>
        <LegalEntityTypeID>4</LegalEntityTypeID>
        <IsVerdictExists>false</IsVerdictExists>
        <IsAsirAzir>false</IsAsirAzir>
        <MainAndSecSpec/>
        <IsPublicationProhibited>false</IsPublicationProhibited>
        <PublicationProhibitedFullName>בר שוורץ</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חגית פורקוש</FullName>
        <FirstName>חגית</FirstName>
        <LastName>פורקוש</LastName>
        <PartyPropertyName/>
        <AuthenticationTypeAndNumber>ת"ז 036722445</AuthenticationTypeAndNumber>
        <RepresentatedOrRepresentativesNames>בר שוורץ, דור שוורץ</RepresentatedOrRepresentativesNames>
        <RepresentatedOrRepresentativesCount>2</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268882326</CasePartyID>
        <PartyTypeID>1</PartyTypeID>
        <ActivityStatusID>1</ActivityStatusID>
        <PartyAliasID>4</PartyAliasID>
        <PartyAliasName>משיב</PartyAliasName>
        <OrdinalNumber>1</OrdinalNumber>
        <LegalEntityID>79373986</LegalEntityID>
        <CaseLegalEntityID>128498635</CaseLegalEntityID>
        <AuthenticationTypeID>1</AuthenticationTypeID>
        <AuthenticationTypeName>ת"ז</AuthenticationTypeName>
        <LegalEntityNumber>036722445</LegalEntityNumber>
        <IsMainPartyType>true</IsMainPartyType>
        <CaseDisplayIdentifier>24918-04-24</CaseDisplayIdentifier>
        <CaseTypeID>63</CaseTypeID>
        <CaseTypeName>ערעור משפחה (עמ"ש)</CaseTypeName>
        <CaseName>פרגפור נ' פורקוש ואח'</CaseName>
        <FullAddress>אדוריים 161 קריית גת </FullAddress>
        <MotionID>0</MotionID>
        <CasePleaID>0</CasePleaID>
        <FatherName>אברהם</FatherName>
        <LinkedCaseID>0</LinkedCaseID>
        <PartyID>2</PartyID>
        <CasePartyCategoryID>2</CasePartyCategoryID>
        <LegalEntityAddressID>84559454</LegalEntityAddressID>
        <PleaTypeID>6</PleaTypeID>
        <GroupPartyAlias>משיבים</GroupPartyAlias>
        <IsConverted>false</IsConverted>
        <LegalEntityRegisteredNameID>9324738</LegalEntityRegisteredNameID>
        <LegalEntityNameID>90526708</LegalEntityNameID>
        <RepresentatedNamesOfAssistant/>
        <LegalEntityTypeID>1</LegalEntityTypeID>
        <IsVerdictExists>false</IsVerdictExists>
        <IsAsirAzir>false</IsAsirAzir>
        <MainAndSecSpec/>
        <IsPublicationProhibited>false</IsPublicationProhibited>
        <PublicationProhibitedFullName>חגית פורקוש</PublicationProhibitedFullName>
      </CaseParties>
      <CaseParties>
        <PartyTypeName>צד</PartyTypeName>
        <ProceedingType>כתב טענות עיקרי</ProceedingType>
        <PleaName>הודעת ערעור</PleaName>
        <PartyBelonging>צד ב'</PartyBelonging>
        <RoleName>משיב 2 - נתבע</RoleName>
        <IsSubProceeding>FALSE</IsSubProceeding>
        <FullName>מרכז הרפואי האוניברסיטאי סורוקה</FullName>
        <FirstName>מרכז הרפואי</FirstName>
        <LastName>האוניברסיטאי סורוקה</LastName>
        <PartyPropertyName/>
        <AuthenticationTypeAndNumber>ת"ז </AuthenticationTypeAndNumber>
        <RepresentatedOrRepresentativesNames>נועם אביטל ברשד</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268882327</CasePartyID>
        <PartyTypeID>1</PartyTypeID>
        <ActivityStatusID>1</ActivityStatusID>
        <PartyAliasID>4</PartyAliasID>
        <PartyAliasName>משיב</PartyAliasName>
        <OrdinalNumber>2</OrdinalNumber>
        <LegalEntityID>79373987</LegalEntityID>
        <CaseLegalEntityID>128498636</CaseLegalEntityID>
        <AuthenticationTypeID>1</AuthenticationTypeID>
        <AuthenticationTypeName>ת"ז</AuthenticationTypeName>
        <IsMainPartyType>true</IsMainPartyType>
        <CaseDisplayIdentifier>24918-04-24</CaseDisplayIdentifier>
        <CaseTypeID>63</CaseTypeID>
        <CaseTypeName>ערעור משפחה (עמ"ש)</CaseTypeName>
        <CaseName>פרגפור נ' פורקוש ואח'</CaseName>
        <FullAddress>באר שבע </FullAddress>
        <MotionID>0</MotionID>
        <CasePleaID>0</CasePleaID>
        <LinkedCaseID>0</LinkedCaseID>
        <PartyID>2</PartyID>
        <CasePartyCategoryID>2</CasePartyCategoryID>
        <LegalEntityAddressID>84559455</LegalEntityAddressID>
        <PleaTypeID>6</PleaTypeID>
        <GroupPartyAlias>משיבים</GroupPartyAlias>
        <IsConverted>false</IsConverted>
        <LegalEntityNameID>90526709</LegalEntityNameID>
        <RepresentatedNamesOfAssistant/>
        <LegalEntityTypeID>1</LegalEntityTypeID>
        <IsVerdictExists>false</IsVerdictExists>
        <IsAsirAzir>false</IsAsirAzir>
        <MainAndSecSpec/>
        <IsPublicationProhibited>false</IsPublicationProhibited>
        <PublicationProhibitedFullName>מרכז הרפואי האוניברסיטאי סורוקה</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משרד הבריאות</FullName>
        <FirstName>משרד</FirstName>
        <LastName>הבריאות</LastName>
        <PartyPropertyName/>
        <AuthenticationTypeAndNumber>ת"ז </AuthenticationTypeAndNumber>
        <RepresentatedOrRepresentativesNames>ציון אילוז</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268882328</CasePartyID>
        <PartyTypeID>1</PartyTypeID>
        <ActivityStatusID>1</ActivityStatusID>
        <PartyAliasID>4</PartyAliasID>
        <PartyAliasName>משיב</PartyAliasName>
        <OrdinalNumber>3</OrdinalNumber>
        <LegalEntityID>79373994</LegalEntityID>
        <CaseLegalEntityID>128498637</CaseLegalEntityID>
        <AuthenticationTypeID>1</AuthenticationTypeID>
        <AuthenticationTypeName>ת"ז</AuthenticationTypeName>
        <IsMainPartyType>true</IsMainPartyType>
        <CaseDisplayIdentifier>24918-04-24</CaseDisplayIdentifier>
        <CaseTypeID>63</CaseTypeID>
        <CaseTypeName>ערעור משפחה (עמ"ש)</CaseTypeName>
        <CaseName>פרגפור נ' פורקוש ואח'</CaseName>
        <FullAddress/>
        <MotionID>0</MotionID>
        <CasePleaID>0</CasePleaID>
        <LinkedCaseID>0</LinkedCaseID>
        <PartyID>2</PartyID>
        <CasePartyCategoryID>2</CasePartyCategoryID>
        <PleaTypeID>6</PleaTypeID>
        <GroupPartyAlias>משיבים</GroupPartyAlias>
        <IsConverted>false</IsConverted>
        <LegalEntityNameID>90526729</LegalEntityNameID>
        <RepresentatedNamesOfAssistant/>
        <LegalEntityTypeID>1</LegalEntityTypeID>
        <IsVerdictExists>false</IsVerdictExists>
        <IsAsirAzir>false</IsAsirAzir>
        <MainAndSecSpec/>
        <IsPublicationProhibited>false</IsPublicationProhibited>
        <PublicationProhibitedFullName>משרד הבריאות</PublicationProhibitedFullName>
      </CaseParties>
    </CasePartiesSelectionDS>
    <DecisionName>פסק דין  שניתנה ע"י  גאולה לוין</DecisionName>
    <CourtDisplayName>בית המשפט המחוזי בבאר שבע</CourtDisplayName>
    <IsCaseJudgePanel>true</IsCaseJudgePanel>
    <DecisionSignatureDate>2024-11-26T16:33:14.6323835+02:00</DecisionSignatureDate>
    <OpenCaseDate>2024-04-10T09:45:00+03:00</OpenCaseDate>
    <CaseFeeSum>0.000</CaseFeeSum>
    <DecisionTypeID>2</DecisionTypeID>
    <DecisionSignatureUserName>גאולה לוין</DecisionSignatureUserName>
    <DecisionSignatureDateHebrew>2024-11-26T16:33:14.6323835+02:00</DecisionSignatureDateHebrew>
    <DecisionWriterID>016579955@GOV.IL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פרגפור נ' פורקוש ואח'</CaseName>
    <DecisionNumberInCase>19</DecisionNumberInCase>
  </dt_Decision>
  <dt_DecisionCase>
    <DecisionID>0</DecisionID>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משרד הבריאות</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268900003</CasePartyID>
        <PartyTypeID>2</PartyTypeID>
        <ActivityStatusID>1</ActivityStatusID>
        <PartyAliasID>23</PartyAliasID>
        <PartyAliasName>בא כוח משיבים</PartyAliasName>
        <LegalEntityID>397533</LegalEntityID>
        <CaseLegalEntityID>128504232</CaseLegalEntityID>
        <AuthenticationTypeID>4</AuthenticationTypeID>
        <AuthenticationTypeName>מ.ר.</AuthenticationTypeName>
        <LegalEntityNumber>16699</LegalEntityNumber>
        <IsMainPartyType>true</IsMainPartyType>
        <CaseDisplayIdentifier>24918-04-24</CaseDisplayIdentifier>
        <CaseTypeID>63</CaseTypeID>
        <CaseTypeName>ערעור משפחה (עמ"ש)</CaseTypeName>
        <CaseName>פרגפור נ' פורקוש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נועם אביטל ברשד</FullName>
        <FirstName>נועם</FirstName>
        <LastName>אביטל ברשד</LastName>
        <PartyPropertyName/>
        <AuthenticationTypeAndNumber>מ.ר. 66348</AuthenticationTypeAndNumber>
        <RepresentatedOrRepresentativesNames>מרכז הרפואי האוניברסיטאי סורוקה</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268900392</CasePartyID>
        <PartyTypeID>2</PartyTypeID>
        <ActivityStatusID>1</ActivityStatusID>
        <PartyAliasID>23</PartyAliasID>
        <PartyAliasName>בא כוח משיבים</PartyAliasName>
        <LegalEntityID>79680305</LegalEntityID>
        <CaseLegalEntityID>128504347</CaseLegalEntityID>
        <AuthenticationTypeID>4</AuthenticationTypeID>
        <AuthenticationTypeName>מ.ר.</AuthenticationTypeName>
        <LegalEntityNumber>66348</LegalEntityNumber>
        <IsMainPartyType>true</IsMainPartyType>
        <CaseDisplayIdentifier>24918-04-24</CaseDisplayIdentifier>
        <CaseTypeID>63</CaseTypeID>
        <CaseTypeName>ערעור משפחה (עמ"ש)</CaseTypeName>
        <CaseName>פרגפור נ' פורקוש ואח'</CaseName>
        <FullAddress>ארלוזרוב 101 תל אביב -יפו </FullAddress>
        <EmailAddress>eyalza@clalit.org.il</EmailAddress>
        <MotionID>0</MotionID>
        <CasePleaID>0</CasePleaID>
        <LinkedCaseID>0</LinkedCaseID>
        <PartyID>2</PartyID>
        <CasePartyCategoryID>2</CasePartyCategoryID>
        <LegalEntityAddressID>82811465</LegalEntityAddressID>
        <LegalEntityEmailAddressID>68298530</LegalEntityEmailAddressID>
        <PleaTypeID>6</PleaTypeID>
        <LawyerOfficeName>לשכה משפטית שירותי בריאות כללית </LawyerOfficeName>
        <LawyerOfficeID>453056</LawyerOfficeID>
        <GroupPartyAlias/>
        <IsConverted>false</IsConverted>
        <LegalEntityNameID>91201658</LegalEntityNameID>
        <RepresentatedNamesOfAssistant/>
        <LegalEntityTypeID>4</LegalEntityTypeID>
        <IsVerdictExists>false</IsVerdictExists>
        <IsAsirAzir>false</IsAsirAzir>
        <MainAndSecSpec/>
        <IsPublicationProhibited>false</IsPublicationProhibited>
        <PublicationProhibitedFullName>נועם אביטל ברשד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דור שוורץ</FullName>
        <FirstName>דור</FirstName>
        <LastName>שוורץ</LastName>
        <PartyPropertyName/>
        <AuthenticationTypeAndNumber>מ.ר. 34979</AuthenticationTypeAndNumber>
        <RepresentatedOrRepresentativesNames>חגית פורקוש</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269818032</CasePartyID>
        <PartyTypeID>2</PartyTypeID>
        <ActivityStatusID>1</ActivityStatusID>
        <PartyAliasID>23</PartyAliasID>
        <PartyAliasName>בא כוח משיבים</PartyAliasName>
        <LegalEntityID>408963</LegalEntityID>
        <CaseLegalEntityID>128776561</CaseLegalEntityID>
        <AuthenticationTypeID>4</AuthenticationTypeID>
        <AuthenticationTypeName>מ.ר.</AuthenticationTypeName>
        <LegalEntityNumber>34979</LegalEntityNumber>
        <IsMainPartyType>true</IsMainPartyType>
        <CaseDisplayIdentifier>24918-04-24</CaseDisplayIdentifier>
        <CaseTypeID>63</CaseTypeID>
        <CaseTypeName>ערעור משפחה (עמ"ש)</CaseTypeName>
        <CaseName>פרגפור נ' פורקוש ואח'</CaseName>
        <FullAddress>אח"י אילת 9/1 חיפה </FullAddress>
        <EmailAddress>sec@sb-adv.co.il</EmailAddress>
        <MotionID>0</MotionID>
        <CasePleaID>0</CasePleaID>
        <LinkedCaseID>0</LinkedCaseID>
        <PartyID>2</PartyID>
        <CasePartyCategoryID>2</CasePartyCategoryID>
        <LegalEntityAddressID>78448930</LegalEntityAddressID>
        <LegalEntityEmailAddressID>67904152</LegalEntityEmailAddressID>
        <PleaTypeID>6</PleaTypeID>
        <LawyerOfficeName>משרד עו"ד: שוורץ, בר</LawyerOfficeName>
        <LawyerOfficeID>449607</LawyerOfficeID>
        <GroupPartyAlias/>
        <IsConverted>false</IsConverted>
        <LegalEntityNameID>29947</LegalEntityNameID>
        <RepresentatedNamesOfAssistant/>
        <LegalEntityTypeID>4</LegalEntityTypeID>
        <IsVerdictExists>false</IsVerdictExists>
        <IsAsirAzir>false</IsAsirAzir>
        <MainAndSecSpec/>
        <IsPublicationProhibited>false</IsPublicationProhibited>
        <PublicationProhibitedFullName>דור שוורץ</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דיינה הר-אבן</FullName>
        <FirstName>דיינה</FirstName>
        <LastName>הר-אבן</LastName>
        <PartyPropertyName/>
        <AuthenticationTypeAndNumber>מ.ר. 8477</AuthenticationTypeAndNumber>
        <RepresentatedOrRepresentativesNames>איל פרגפור</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268882331</CasePartyID>
        <PartyTypeID>2</PartyTypeID>
        <ActivityStatusID>1</ActivityStatusID>
        <PartyAliasID>24</PartyAliasID>
        <PartyAliasName>בא כוח מערערים</PartyAliasName>
        <OrdinalNumber>1</OrdinalNumber>
        <LegalEntityID>394064</LegalEntityID>
        <CaseLegalEntityID>128498640</CaseLegalEntityID>
        <AuthenticationTypeID>4</AuthenticationTypeID>
        <AuthenticationTypeName>מ.ר.</AuthenticationTypeName>
        <LegalEntityNumber>8477</LegalEntityNumber>
        <IsMainPartyType>true</IsMainPartyType>
        <CaseDisplayIdentifier>24918-04-24</CaseDisplayIdentifier>
        <CaseTypeID>63</CaseTypeID>
        <CaseTypeName>ערעור משפחה (עמ"ש)</CaseTypeName>
        <CaseName>פרגפור נ' פורקוש ואח'</CaseName>
        <FullAddress>יסעור 27 סביון* </FullAddress>
        <MotionID>0</MotionID>
        <CasePleaID>0</CasePleaID>
        <LinkedCaseID>0</LinkedCaseID>
        <PartyID>1</PartyID>
        <CasePartyCategoryID>2</CasePartyCategoryID>
        <LegalEntityAddressID>84402332</LegalEntityAddressID>
        <PleaTypeID>6</PleaTypeID>
        <LawyerOfficeName>משרד עו"ד: דיינה הר-אבן</LawyerOfficeName>
        <LawyerOfficeID>434708</LawyerOfficeID>
        <GroupPartyAlias/>
        <IsConverted>false</IsConverted>
        <LegalEntityNameID>15048</LegalEntityNameID>
        <RepresentatedNamesOfAssistant/>
        <LegalEntityTypeID>4</LegalEntityTypeID>
        <IsVerdictExists>false</IsVerdictExists>
        <IsAsirAzir>false</IsAsirAzir>
        <MainAndSecSpec/>
        <IsPublicationProhibited>false</IsPublicationProhibited>
        <PublicationProhibitedFullName>דיינה הר-אבן</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איל פרגפור</FullName>
        <FirstName>איל</FirstName>
        <LastName>פרגפור</LastName>
        <PartyPropertyName/>
        <AuthenticationTypeAndNumber>ת"ז 039464714</AuthenticationTypeAndNumber>
        <RepresentatedOrRepresentativesNames>דיינה הר-אבן</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268882325</CasePartyID>
        <PartyTypeID>1</PartyTypeID>
        <ActivityStatusID>1</ActivityStatusID>
        <PartyAliasID>5</PartyAliasID>
        <PartyAliasName>מערער</PartyAliasName>
        <OrdinalNumber>1</OrdinalNumber>
        <LegalEntityID>77257255</LegalEntityID>
        <CaseLegalEntityID>128498634</CaseLegalEntityID>
        <AuthenticationTypeID>1</AuthenticationTypeID>
        <AuthenticationTypeName>ת"ז</AuthenticationTypeName>
        <LegalEntityNumber>039464714</LegalEntityNumber>
        <IsMainPartyType>true</IsMainPartyType>
        <CaseDisplayIdentifier>24918-04-24</CaseDisplayIdentifier>
        <CaseTypeID>63</CaseTypeID>
        <CaseTypeName>ערעור משפחה (עמ"ש)</CaseTypeName>
        <CaseName>פרגפור נ' פורקוש ואח'</CaseName>
        <FullAddress>עכו 12 באר שבע </FullAddress>
        <MotionID>0</MotionID>
        <CasePleaID>0</CasePleaID>
        <FatherName>רחמים</FatherName>
        <LinkedCaseID>0</LinkedCaseID>
        <PartyID>1</PartyID>
        <CasePartyCategoryID>2</CasePartyCategoryID>
        <LegalEntityAddressID>84559491</LegalEntityAddressID>
        <PleaTypeID>6</PleaTypeID>
        <GroupPartyAlias>מערערים</GroupPartyAlias>
        <IsConverted>false</IsConverted>
        <LegalEntityRegisteredNameID>7546394</LegalEntityRegisteredNameID>
        <LegalEntityNameID>90526748</LegalEntityNameID>
        <RepresentatedNamesOfAssistant/>
        <LegalEntityTypeID>1</LegalEntityTypeID>
        <IsVerdictExists>false</IsVerdictExists>
        <IsAsirAzir>false</IsAsirAzir>
        <MainAndSecSpec/>
        <IsPublicationProhibited>false</IsPublicationProhibited>
        <PublicationProhibitedFullName>איל פרגפור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בר שוורץ</FullName>
        <FirstName>בר</FirstName>
        <LastName>שוורץ</LastName>
        <PartyPropertyName/>
        <AuthenticationTypeAndNumber>מ.ר. 81543</AuthenticationTypeAndNumber>
        <RepresentatedOrRepresentativesNames>חגית פורקוש</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268882332</CasePartyID>
        <PartyTypeID>2</PartyTypeID>
        <ActivityStatusID>1</ActivityStatusID>
        <PartyAliasID>23</PartyAliasID>
        <PartyAliasName>בא כוח משיבים</PartyAliasName>
        <OrdinalNumber>1</OrdinalNumber>
        <LegalEntityID>77576061</LegalEntityID>
        <CaseLegalEntityID>128498641</CaseLegalEntityID>
        <AuthenticationTypeID>4</AuthenticationTypeID>
        <AuthenticationTypeName>מ.ר.</AuthenticationTypeName>
        <LegalEntityNumber>81543</LegalEntityNumber>
        <IsMainPartyType>true</IsMainPartyType>
        <CaseDisplayIdentifier>24918-04-24</CaseDisplayIdentifier>
        <CaseTypeID>63</CaseTypeID>
        <CaseTypeName>ערעור משפחה (עמ"ש)</CaseTypeName>
        <CaseName>פרגפור נ' פורקוש ואח'</CaseName>
        <FullAddress>פורצי הדרך 4 אשדוד </FullAddress>
        <MotionID>0</MotionID>
        <CasePleaID>0</CasePleaID>
        <LinkedCaseID>0</LinkedCaseID>
        <PartyID>2</PartyID>
        <CasePartyCategoryID>2</CasePartyCategoryID>
        <LegalEntityAddressID>81791195</LegalEntityAddressID>
        <PleaTypeID>6</PleaTypeID>
        <LawyerOfficeName>משרד עו"ד בר שוורץ</LawyerOfficeName>
        <LawyerOfficeID>77576062</LawyerOfficeID>
        <GroupPartyAlias/>
        <IsConverted>false</IsConverted>
        <LegalEntityNameID>86532886</LegalEntityNameID>
        <RepresentatedNamesOfAssistant/>
        <LegalEntityTypeID>4</LegalEntityTypeID>
        <IsVerdictExists>false</IsVerdictExists>
        <IsAsirAzir>false</IsAsirAzir>
        <MainAndSecSpec/>
        <IsPublicationProhibited>false</IsPublicationProhibited>
        <PublicationProhibitedFullName>בר שוורץ</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חגית פורקוש</FullName>
        <FirstName>חגית</FirstName>
        <LastName>פורקוש</LastName>
        <PartyPropertyName/>
        <AuthenticationTypeAndNumber>ת"ז 036722445</AuthenticationTypeAndNumber>
        <RepresentatedOrRepresentativesNames>בר שוורץ, דור שוורץ</RepresentatedOrRepresentativesNames>
        <RepresentatedOrRepresentativesCount>2</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268882326</CasePartyID>
        <PartyTypeID>1</PartyTypeID>
        <ActivityStatusID>1</ActivityStatusID>
        <PartyAliasID>4</PartyAliasID>
        <PartyAliasName>משיב</PartyAliasName>
        <OrdinalNumber>1</OrdinalNumber>
        <LegalEntityID>79373986</LegalEntityID>
        <CaseLegalEntityID>128498635</CaseLegalEntityID>
        <AuthenticationTypeID>1</AuthenticationTypeID>
        <AuthenticationTypeName>ת"ז</AuthenticationTypeName>
        <LegalEntityNumber>036722445</LegalEntityNumber>
        <IsMainPartyType>true</IsMainPartyType>
        <CaseDisplayIdentifier>24918-04-24</CaseDisplayIdentifier>
        <CaseTypeID>63</CaseTypeID>
        <CaseTypeName>ערעור משפחה (עמ"ש)</CaseTypeName>
        <CaseName>פרגפור נ' פורקוש ואח'</CaseName>
        <FullAddress>אדוריים 161 קריית גת </FullAddress>
        <MotionID>0</MotionID>
        <CasePleaID>0</CasePleaID>
        <FatherName>אברהם</FatherName>
        <LinkedCaseID>0</LinkedCaseID>
        <PartyID>2</PartyID>
        <CasePartyCategoryID>2</CasePartyCategoryID>
        <LegalEntityAddressID>84559454</LegalEntityAddressID>
        <PleaTypeID>6</PleaTypeID>
        <GroupPartyAlias>משיבים</GroupPartyAlias>
        <IsConverted>false</IsConverted>
        <LegalEntityRegisteredNameID>9324738</LegalEntityRegisteredNameID>
        <LegalEntityNameID>90526708</LegalEntityNameID>
        <RepresentatedNamesOfAssistant/>
        <LegalEntityTypeID>1</LegalEntityTypeID>
        <IsVerdictExists>false</IsVerdictExists>
        <IsAsirAzir>false</IsAsirAzir>
        <MainAndSecSpec/>
        <IsPublicationProhibited>false</IsPublicationProhibited>
        <PublicationProhibitedFullName>חגית פורקוש</PublicationProhibitedFullName>
      </CaseParties>
      <CaseParties>
        <PartyTypeName>צד</PartyTypeName>
        <ProceedingType>כתב טענות עיקרי</ProceedingType>
        <PleaName>הודעת ערעור</PleaName>
        <PartyBelonging>צד ב'</PartyBelonging>
        <RoleName>משיב 2 - נתבע</RoleName>
        <IsSubProceeding>FALSE</IsSubProceeding>
        <FullName>מרכז הרפואי האוניברסיטאי סורוקה</FullName>
        <FirstName>מרכז הרפואי</FirstName>
        <LastName>האוניברסיטאי סורוקה</LastName>
        <PartyPropertyName/>
        <AuthenticationTypeAndNumber>ת"ז </AuthenticationTypeAndNumber>
        <RepresentatedOrRepresentativesNames>נועם אביטל ברשד</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268882327</CasePartyID>
        <PartyTypeID>1</PartyTypeID>
        <ActivityStatusID>1</ActivityStatusID>
        <PartyAliasID>4</PartyAliasID>
        <PartyAliasName>משיב</PartyAliasName>
        <OrdinalNumber>2</OrdinalNumber>
        <LegalEntityID>79373987</LegalEntityID>
        <CaseLegalEntityID>128498636</CaseLegalEntityID>
        <AuthenticationTypeID>1</AuthenticationTypeID>
        <AuthenticationTypeName>ת"ז</AuthenticationTypeName>
        <IsMainPartyType>true</IsMainPartyType>
        <CaseDisplayIdentifier>24918-04-24</CaseDisplayIdentifier>
        <CaseTypeID>63</CaseTypeID>
        <CaseTypeName>ערעור משפחה (עמ"ש)</CaseTypeName>
        <CaseName>פרגפור נ' פורקוש ואח'</CaseName>
        <FullAddress>באר שבע </FullAddress>
        <MotionID>0</MotionID>
        <CasePleaID>0</CasePleaID>
        <LinkedCaseID>0</LinkedCaseID>
        <PartyID>2</PartyID>
        <CasePartyCategoryID>2</CasePartyCategoryID>
        <LegalEntityAddressID>84559455</LegalEntityAddressID>
        <PleaTypeID>6</PleaTypeID>
        <GroupPartyAlias>משיבים</GroupPartyAlias>
        <IsConverted>false</IsConverted>
        <LegalEntityNameID>90526709</LegalEntityNameID>
        <RepresentatedNamesOfAssistant/>
        <LegalEntityTypeID>1</LegalEntityTypeID>
        <IsVerdictExists>false</IsVerdictExists>
        <IsAsirAzir>false</IsAsirAzir>
        <MainAndSecSpec/>
        <IsPublicationProhibited>false</IsPublicationProhibited>
        <PublicationProhibitedFullName>מרכז הרפואי האוניברסיטאי סורוקה</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משרד הבריאות</FullName>
        <FirstName>משרד</FirstName>
        <LastName>הבריאות</LastName>
        <PartyPropertyName/>
        <AuthenticationTypeAndNumber>ת"ז </AuthenticationTypeAndNumber>
        <RepresentatedOrRepresentativesNames>ציון אילוז</RepresentatedOrRepresentativesNames>
        <RepresentatedOrRepresentativesCount>1</RepresentatedOrRepresentativesCount>
        <InvitedBy/>
        <CaseID>81145682</CaseID>
        <CaseJudicialPersonPresentationDS>
          <CaseJudicalPersonActive>
            <CaseID>81145682</CaseID>
            <JudicialPersonID>016579955@GOV.IL</JudicialPersonID>
            <JudicialPersonTypeID>1</JudicialPersonTypeID>
            <JudicialTypeID>3</JudicialTypeID>
            <IsChairman>true</IsChairman>
            <TreatmentStartDate>2024-05-15T08:54:57.863+03:00</TreatmentStartDate>
            <TreatmentFinishDate>9999-12-31T23:59:59.997+02:00</TreatmentFinishDate>
            <IdentificationCardNumber>016579955</IdentificationCardNumber>
            <DisplayName>גאולה לוין</DisplayName>
            <JudicialTypeName>הרכב שופטים</JudicialTypeName>
            <CaseJudicialGroupNumber>579753</CaseJudicialGroupNumber>
            <FirstName>גאולה</FirstName>
            <LastName>לוין</LastName>
            <JudicialPersonTitle>שופט</JudicialPersonTitle>
          </CaseJudicalPersonActive>
          <CaseJudicalPersonActive>
            <CaseID>81145682</CaseID>
            <JudicialPersonID>029728128@GOV.IL</JudicialPersonID>
            <JudicialPersonTypeID>1</JudicialPersonTypeID>
            <JudicialTypeID>3</JudicialTypeID>
            <IsChairman>false</IsChairman>
            <TreatmentStartDate>2024-05-15T08:54:57.863+03:00</TreatmentStartDate>
            <TreatmentFinishDate>9999-12-31T23:59:59.997+02:00</TreatmentFinishDate>
            <IdentificationCardNumber>029728128</IdentificationCardNumber>
            <DisplayName>יעקב דנינו</DisplayName>
            <JudicialTypeName>הרכב שופטים</JudicialTypeName>
            <CaseJudicialGroupNumber>579753</CaseJudicialGroupNumber>
            <FirstName>יעקב</FirstName>
            <LastName>דנינו</LastName>
            <JudicialPersonTitle>שופט</JudicialPersonTitle>
          </CaseJudicalPersonActive>
          <CaseJudicalPersonActive>
            <CaseID>81145682</CaseID>
            <JudicialPersonID>028861425@GOV.IL</JudicialPersonID>
            <JudicialPersonTypeID>1</JudicialPersonTypeID>
            <JudicialTypeID>3</JudicialTypeID>
            <IsChairman>false</IsChairman>
            <TreatmentStartDate>2024-05-15T08:54:57.863+03:00</TreatmentStartDate>
            <TreatmentFinishDate>9999-12-31T23:59:59.997+02:00</TreatmentFinishDate>
            <IdentificationCardNumber>028861425</IdentificationCardNumber>
            <DisplayName>פאני גילת כהן</DisplayName>
            <JudicialTypeName>הרכב שופטים</JudicialTypeName>
            <CaseJudicialGroupNumber>579753</CaseJudicialGroupNumber>
            <FirstName>פאני גילת</FirstName>
            <LastName>כהן</LastName>
            <JudicialPersonTitle>שופט</JudicialPersonTitle>
          </CaseJudicalPersonActive>
        </CaseJudicialPersonPresentationDS>
        <CasePartyID>268882328</CasePartyID>
        <PartyTypeID>1</PartyTypeID>
        <ActivityStatusID>1</ActivityStatusID>
        <PartyAliasID>4</PartyAliasID>
        <PartyAliasName>משיב</PartyAliasName>
        <OrdinalNumber>3</OrdinalNumber>
        <LegalEntityID>79373994</LegalEntityID>
        <CaseLegalEntityID>128498637</CaseLegalEntityID>
        <AuthenticationTypeID>1</AuthenticationTypeID>
        <AuthenticationTypeName>ת"ז</AuthenticationTypeName>
        <IsMainPartyType>true</IsMainPartyType>
        <CaseDisplayIdentifier>24918-04-24</CaseDisplayIdentifier>
        <CaseTypeID>63</CaseTypeID>
        <CaseTypeName>ערעור משפחה (עמ"ש)</CaseTypeName>
        <CaseName>פרגפור נ' פורקוש ואח'</CaseName>
        <FullAddress/>
        <MotionID>0</MotionID>
        <CasePleaID>0</CasePleaID>
        <LinkedCaseID>0</LinkedCaseID>
        <PartyID>2</PartyID>
        <CasePartyCategoryID>2</CasePartyCategoryID>
        <PleaTypeID>6</PleaTypeID>
        <GroupPartyAlias>משיבים</GroupPartyAlias>
        <IsConverted>false</IsConverted>
        <LegalEntityNameID>90526729</LegalEntityNameID>
        <RepresentatedNamesOfAssistant/>
        <LegalEntityTypeID>1</LegalEntityTypeID>
        <IsVerdictExists>false</IsVerdictExists>
        <IsAsirAzir>false</IsAsirAzir>
        <MainAndSecSpec/>
        <IsPublicationProhibited>false</IsPublicationProhibited>
        <PublicationProhibitedFullName>משרד הבריאות</PublicationProhibitedFullName>
      </CaseParties>
    </CasePartiesSelectionDS>
    <CaseName>פרגפור נ' פורקוש ואח'</CaseName>
    <CaseDisplayIdentifier>24918-04-24</CaseDisplayIdentifier>
    <CaseInterestID>67</CaseInterestID>
    <CaseTypeShortName>עמ"ש</CaseTypeShortName>
  </dt_DecisionCase>
  <dt_DecisionJudgePanel>
    <JudgeID>016579955@GOV.IL</JudgeID>
    <DisplayName>לוין</DisplayName>
    <RoleName>שופט</RoleName>
    <UserTitleName>שופטת</UserTitleName>
  </dt_DecisionJudgePanel>
  <dt_DecisionJudgePanel>
    <JudgeID>029728128@GOV.IL</JudgeID>
    <DisplayName>דנינו</DisplayName>
    <RoleName>שופט</RoleName>
    <UserTitleName>שופט</UserTitleName>
  </dt_DecisionJudgePanel>
  <dt_DecisionJudgePanel>
    <JudgeID>028861425@GOV.IL</JudgeID>
    <DisplayName>כהן</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03-6923201</Fax>
    <Phone>03-6923222</Phone>
    <PartyID>2</PartyID>
    <PartyTypeID>2</PartyTypeID>
    <DecisionID>0</DecisionID>
    <StreetName>ארלוזרוב 101</StreetName>
    <ZipCode>61192</ZipCode>
    <CityName>תל אביב -יפו</CityName>
    <FullName>נועם אביטל ברשד</FullName>
    <Email>eyalza@clalit.org.il</Email>
    <IsPublicationProhibited>false</IsPublicationProhibited>
  </dt_LegalEntityDetails>
  <dt_LegalEntityDetails>
    <Fax>04-8645908</Fax>
    <Phone>04-8650155</Phone>
    <PartyID>2</PartyID>
    <PartyTypeID>2</PartyTypeID>
    <DecisionID>0</DecisionID>
    <StreetName>אח"י אילת 9/1</StreetName>
    <ZipCode>2630656</ZipCode>
    <CityName>חיפה</CityName>
    <FullName>דור שוורץ</FullName>
    <Email>sec@sb-adv.co.il</Email>
    <IsPublicationProhibited>false</IsPublicationProhibited>
  </dt_LegalEntityDetails>
  <dt_LegalEntityDetails>
    <PartyID>1</PartyID>
    <PartyTypeID>1</PartyTypeID>
    <DecisionID>0</DecisionID>
    <StreetName>עכו 12</StreetName>
    <CityName>באר שבע</CityName>
    <FullName>איל פרגפור</FullName>
    <IsPublicationProhibited>false</IsPublicationProhibited>
  </dt_LegalEntityDetails>
  <dt_LegalEntityDetails>
    <PartyID>2</PartyID>
    <PartyTypeID>1</PartyTypeID>
    <DecisionID>0</DecisionID>
    <StreetName>אדוריים 161 </StreetName>
    <CityName>קריית גת</CityName>
    <FullName>חגית פורקוש</FullName>
    <IsPublicationProhibited>false</IsPublicationProhibited>
  </dt_LegalEntityDetails>
  <dt_LegalEntityDetails>
    <Fax>03-5366744</Fax>
    <Phone>03-6320220</Phone>
    <PartyID>1</PartyID>
    <PartyTypeID>2</PartyTypeID>
    <DecisionID>0</DecisionID>
    <StreetName>יסעור 27</StreetName>
    <ZipCode>5652900</ZipCode>
    <CityName>סביון*</CityName>
    <FullName>דיינה הר-אבן</FullName>
    <Email>dayana@hareven-law.co.il</Email>
    <IsPublicationProhibited>false</IsPublicationProhibited>
  </dt_LegalEntityDetails>
  <dt_LegalEntityDetails>
    <Phone>08-8568346</Phone>
    <PartyID>2</PartyID>
    <PartyTypeID>2</PartyTypeID>
    <DecisionID>0</DecisionID>
    <StreetName>פורצי הדרך 4</StreetName>
    <ZipCode>7747216</ZipCode>
    <CityName>אשדוד</CityName>
    <FullName>בר שוורץ</FullName>
    <Email>bar.esharabi@gmail.com</Email>
    <IsPublicationProhibited>false</IsPublicationProhibited>
  </dt_LegalEntityDetails>
  <dt_LegalEntityDetails>
    <PartyID>2</PartyID>
    <PartyTypeID>1</PartyTypeID>
    <DecisionID>0</DecisionID>
    <CityName>באר שבע</CityName>
    <FullName>מרכז הרפואי  האוניברסיטאי סורוקה </FullName>
    <IsPublicationProhibited>false</IsPublicationProhibited>
  </dt_LegalEntityDetails>
  <dt_LegalEntityDetails>
    <PartyID>2</PartyID>
    <PartyTypeID>1</PartyTypeID>
    <DecisionID>0</DecisionID>
    <FullName>משרד  הבריאות</FullName>
    <IsPublicationProhibited>false</IsPublicationProhibited>
  </dt_LegalEntityDetails>
  <dt_CaseJudicalPersonActive>
    <CaseJudicalPerson>שופטת גאולה לוין, שופט יעקב דנינו, שופטת פאני גילת כהן</CaseJudicalPerson>
  </dt_CaseJudicalPersonActive>
  <dt_Sitting>
    <PreviousMeetingDate>2024-10-30T10:00:00+02:00</PreviousMeetingDate>
    <PreviousSittingTypeID>2</PreviousSittingTypeID>
    <PreviousMeetingDisplayName>גאולה לוין, יעקב דנינו, פאני גילת כהן</PreviousMeetingDisplayName>
    <PreviousMeetingUserUPN>016579955@GOV.IL, 028861425@GOV.IL, 029728128@GOV.IL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E85FA-E525-41FC-A94D-4143DDAB560D}">
  <ds:schemaRefs/>
</ds:datastoreItem>
</file>

<file path=customXml/itemProps2.xml><?xml version="1.0" encoding="utf-8"?>
<ds:datastoreItem xmlns:ds="http://schemas.openxmlformats.org/officeDocument/2006/customXml" ds:itemID="{26C6D89D-96A0-4A80-9F96-1F3CA312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17178</Words>
  <Characters>85890</Characters>
  <Application>Microsoft Office Word</Application>
  <DocSecurity>12</DocSecurity>
  <Lines>715</Lines>
  <Paragraphs>205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2024-11-28T13:06:00Z</dcterms:created>
  <dcterms:modified xsi:type="dcterms:W3CDTF">2024-11-28T13:06:00Z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